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Cs/>
          <w:szCs w:val="20"/>
        </w:rPr>
      </w:pPr>
      <w:r>
        <w:rPr>
          <w:rFonts w:cs="Arial" w:ascii="Verdana" w:hAnsi="Verdana"/>
          <w:b/>
          <w:bCs/>
          <w:szCs w:val="20"/>
        </w:rPr>
        <w:t>AVISO DE DISPENSA ELETRÔNICA Nº 009/2025</w:t>
      </w:r>
    </w:p>
    <w:p>
      <w:pPr>
        <w:pStyle w:val="Normal"/>
        <w:spacing w:lineRule="auto" w:line="276"/>
        <w:jc w:val="center"/>
        <w:rPr>
          <w:rFonts w:ascii="Verdana" w:hAnsi="Verdana" w:cs="Arial"/>
          <w:b/>
          <w:bCs/>
          <w:szCs w:val="20"/>
        </w:rPr>
      </w:pPr>
      <w:r>
        <w:rPr>
          <w:rFonts w:cs="Arial" w:ascii="Verdana" w:hAnsi="Verdana"/>
          <w:b/>
          <w:bCs/>
          <w:szCs w:val="20"/>
        </w:rPr>
        <w:t>(Processo Administrativo n.º 000733/2025 de 30/01/2025)</w:t>
      </w:r>
    </w:p>
    <w:p>
      <w:pPr>
        <w:pStyle w:val="Normal"/>
        <w:spacing w:lineRule="auto" w:line="276"/>
        <w:rPr>
          <w:rFonts w:ascii="Verdana" w:hAnsi="Verdana" w:cs="Arial"/>
          <w:sz w:val="18"/>
          <w:szCs w:val="18"/>
        </w:rPr>
      </w:pPr>
      <w:r>
        <w:rPr>
          <w:rFonts w:cs="Arial" w:ascii="Verdana" w:hAnsi="Verdana"/>
          <w:sz w:val="18"/>
          <w:szCs w:val="18"/>
        </w:rPr>
      </w:r>
    </w:p>
    <w:p>
      <w:pPr>
        <w:pStyle w:val="Normal"/>
        <w:snapToGrid w:val="false"/>
        <w:spacing w:lineRule="auto" w:line="276"/>
        <w:ind w:firstLine="540" w:right="-30"/>
        <w:jc w:val="both"/>
        <w:rPr>
          <w:rFonts w:ascii="Verdana" w:hAnsi="Verdana"/>
          <w:szCs w:val="20"/>
        </w:rPr>
      </w:pPr>
      <w:r>
        <w:rPr>
          <w:rFonts w:cs="Arial" w:ascii="Verdana" w:hAnsi="Verdana"/>
          <w:szCs w:val="20"/>
        </w:rPr>
        <w:t>Torna-se público que o(a)</w:t>
      </w:r>
      <w:r>
        <w:rPr>
          <w:rFonts w:eastAsia="Arial" w:cs="Arial" w:ascii="Verdana" w:hAnsi="Verdana"/>
          <w:szCs w:val="20"/>
        </w:rPr>
        <w:t xml:space="preserve"> a Prefeitura Municipal de São Gabriel da Palha-ES</w:t>
      </w:r>
      <w:r>
        <w:rPr>
          <w:rFonts w:cs="Arial" w:ascii="Verdana" w:hAnsi="Verdana"/>
          <w:szCs w:val="20"/>
        </w:rPr>
        <w:t xml:space="preserve">, por meio da Secretaria Municipal de Serviços Urbanos e Transporte, realizará Dispensa Eletrônica, </w:t>
      </w:r>
      <w:r>
        <w:rPr>
          <w:rFonts w:cs="Arial" w:ascii="Verdana" w:hAnsi="Verdana"/>
          <w:bCs/>
          <w:szCs w:val="20"/>
        </w:rPr>
        <w:t xml:space="preserve">com critério de julgamento </w:t>
      </w:r>
      <w:r>
        <w:rPr>
          <w:rFonts w:cs="Arial" w:ascii="Verdana" w:hAnsi="Verdana"/>
          <w:b/>
          <w:bCs/>
          <w:i/>
          <w:szCs w:val="20"/>
        </w:rPr>
        <w:t xml:space="preserve">menor preço por item, </w:t>
      </w:r>
      <w:r>
        <w:rPr>
          <w:rFonts w:cs="Arial" w:ascii="Verdana" w:hAnsi="Verdana"/>
          <w:szCs w:val="20"/>
        </w:rPr>
        <w:t>na hipótese do art. 75</w:t>
      </w:r>
      <w:r>
        <w:rPr>
          <w:rFonts w:cs="Arial" w:ascii="Verdana" w:hAnsi="Verdana"/>
          <w:i/>
          <w:iCs/>
          <w:szCs w:val="20"/>
        </w:rPr>
        <w:t>, Inciso</w:t>
      </w:r>
      <w:r>
        <w:rPr>
          <w:rFonts w:cs="Arial" w:ascii="Verdana" w:hAnsi="Verdana"/>
          <w:b/>
          <w:i/>
          <w:iCs/>
          <w:szCs w:val="20"/>
        </w:rPr>
        <w:t xml:space="preserve"> II</w:t>
      </w:r>
      <w:r>
        <w:rPr>
          <w:rFonts w:cs="Arial" w:ascii="Verdana" w:hAnsi="Verdana"/>
          <w:i/>
          <w:iCs/>
          <w:szCs w:val="20"/>
        </w:rPr>
        <w:t>,</w:t>
      </w:r>
      <w:r>
        <w:rPr>
          <w:rFonts w:cs="Arial" w:ascii="Verdana" w:hAnsi="Verdana"/>
          <w:szCs w:val="20"/>
        </w:rPr>
        <w:t xml:space="preserve"> </w:t>
      </w:r>
      <w:r>
        <w:rPr>
          <w:rFonts w:cs="Arial" w:ascii="Verdana" w:hAnsi="Verdana"/>
          <w:bCs/>
          <w:szCs w:val="20"/>
        </w:rPr>
        <w:t>nos termos da Lei nº 14.133, de 1º de abril de 2021, e demais legislação aplicável</w:t>
      </w:r>
      <w:r>
        <w:rPr>
          <w:rFonts w:cs="Arial" w:ascii="Verdana" w:hAnsi="Verdana"/>
          <w:szCs w:val="20"/>
        </w:rPr>
        <w:t>.</w:t>
      </w:r>
    </w:p>
    <w:p>
      <w:pPr>
        <w:pStyle w:val="Normal"/>
        <w:spacing w:lineRule="auto" w:line="276"/>
        <w:jc w:val="both"/>
        <w:rPr>
          <w:rFonts w:ascii="Verdana" w:hAnsi="Verdana" w:cs="Arial"/>
          <w:sz w:val="18"/>
          <w:szCs w:val="18"/>
        </w:rPr>
      </w:pPr>
      <w:r>
        <w:rPr>
          <w:rFonts w:cs="Arial" w:ascii="Verdana" w:hAnsi="Verdana"/>
          <w:sz w:val="18"/>
          <w:szCs w:val="18"/>
        </w:rPr>
      </w:r>
    </w:p>
    <w:p>
      <w:pPr>
        <w:pStyle w:val="Normal"/>
        <w:spacing w:lineRule="auto" w:line="276"/>
        <w:jc w:val="both"/>
        <w:rPr>
          <w:rFonts w:ascii="Verdana" w:hAnsi="Verdana" w:cs="Arial"/>
          <w:b/>
          <w:bCs/>
          <w:szCs w:val="20"/>
        </w:rPr>
      </w:pPr>
      <w:r>
        <w:rPr>
          <w:rFonts w:cs="Arial" w:ascii="Verdana" w:hAnsi="Verdana"/>
          <w:b/>
          <w:bCs/>
          <w:szCs w:val="20"/>
        </w:rPr>
        <w:t xml:space="preserve">Data da sessão: </w:t>
      </w:r>
      <w:r>
        <w:rPr>
          <w:rFonts w:cs="Arial" w:ascii="Verdana" w:hAnsi="Verdana"/>
          <w:b/>
          <w:bCs/>
          <w:szCs w:val="20"/>
        </w:rPr>
        <w:t>04/06/2025</w:t>
      </w:r>
      <w:r>
        <w:rPr>
          <w:rFonts w:cs="Arial" w:ascii="Verdana" w:hAnsi="Verdana"/>
          <w:b/>
          <w:bCs/>
          <w:szCs w:val="20"/>
        </w:rPr>
        <w:t>.</w:t>
      </w:r>
    </w:p>
    <w:p>
      <w:pPr>
        <w:pStyle w:val="Normal"/>
        <w:spacing w:lineRule="auto" w:line="276"/>
        <w:rPr>
          <w:rFonts w:ascii="Verdana" w:hAnsi="Verdana" w:cs="Arial"/>
          <w:b/>
          <w:bCs/>
          <w:szCs w:val="20"/>
        </w:rPr>
      </w:pPr>
      <w:r>
        <w:rPr>
          <w:rFonts w:cs="Arial" w:ascii="Verdana" w:hAnsi="Verdana"/>
          <w:b/>
          <w:bCs/>
          <w:szCs w:val="20"/>
        </w:rPr>
        <w:t xml:space="preserve">Link: </w:t>
      </w:r>
      <w:hyperlink r:id="rId2">
        <w:r>
          <w:rPr>
            <w:rStyle w:val="Hyperlink"/>
            <w:rFonts w:ascii="Verdana" w:hAnsi="Verdana"/>
            <w:b/>
            <w:bCs/>
            <w:color w:val="auto"/>
            <w:szCs w:val="20"/>
          </w:rPr>
          <w:t>www.portaldecompraspublicas.com.br</w:t>
        </w:r>
      </w:hyperlink>
    </w:p>
    <w:p>
      <w:pPr>
        <w:pStyle w:val="Normal"/>
        <w:spacing w:lineRule="auto" w:line="276"/>
        <w:rPr>
          <w:rFonts w:ascii="Verdana" w:hAnsi="Verdana" w:cs="Arial"/>
          <w:b/>
          <w:bCs/>
          <w:szCs w:val="20"/>
        </w:rPr>
      </w:pPr>
      <w:r>
        <w:rPr>
          <w:rFonts w:cs="Arial" w:ascii="Verdana" w:hAnsi="Verdana"/>
          <w:b/>
          <w:bCs/>
          <w:szCs w:val="20"/>
        </w:rPr>
        <w:t>Horário da Fase de Lances: 09h00min as 15h00min.</w:t>
      </w:r>
    </w:p>
    <w:p>
      <w:pPr>
        <w:pStyle w:val="Normal"/>
        <w:spacing w:lineRule="auto" w:line="276"/>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before="0" w:after="0"/>
        <w:ind w:hanging="0" w:left="0"/>
        <w:rPr>
          <w:rFonts w:ascii="Verdana" w:hAnsi="Verdana" w:cs="Arial"/>
          <w:szCs w:val="20"/>
        </w:rPr>
      </w:pPr>
      <w:r>
        <w:rPr>
          <w:rFonts w:cs="Arial" w:ascii="Verdana" w:hAnsi="Verdana"/>
          <w:szCs w:val="20"/>
        </w:rPr>
        <w:t xml:space="preserve">O objeto da presente dispensa é a escolha da proposta mais vantajosa para </w:t>
      </w:r>
      <w:bookmarkStart w:id="0" w:name="_Hlk158282862"/>
      <w:bookmarkStart w:id="1" w:name="_Hlk166752084"/>
      <w:bookmarkStart w:id="2" w:name="_Hlk175663352"/>
      <w:r>
        <w:rPr>
          <w:rFonts w:eastAsia="Times New Roman" w:cs="Arial" w:ascii="Verdana" w:hAnsi="Verdana"/>
          <w:szCs w:val="20"/>
        </w:rPr>
        <w:t xml:space="preserve">aquisição de </w:t>
      </w:r>
      <w:r>
        <w:rPr>
          <w:rFonts w:eastAsia="Arial" w:cs="Arial" w:ascii="Verdana" w:hAnsi="Verdana"/>
          <w:szCs w:val="20"/>
        </w:rPr>
        <w:t>gerador de energia e martelete perfurador rompedor para uso na manutenção dos serviços do Departamento de Limpeza Pública do município</w:t>
      </w:r>
      <w:r>
        <w:rPr>
          <w:rFonts w:cs="Verdana" w:ascii="Verdana" w:hAnsi="Verdana"/>
          <w:szCs w:val="20"/>
        </w:rPr>
        <w:t xml:space="preserve">, </w:t>
      </w:r>
      <w:bookmarkEnd w:id="1"/>
      <w:bookmarkEnd w:id="2"/>
      <w:r>
        <w:rPr>
          <w:rFonts w:cs="Arial" w:ascii="Verdana" w:hAnsi="Verdana"/>
          <w:szCs w:val="20"/>
        </w:rPr>
        <w:t>conforme condições, quantidades e exigências estabelecidas neste Aviso de Contratação Direta e seus anexos.</w:t>
      </w:r>
      <w:bookmarkEnd w:id="0"/>
    </w:p>
    <w:tbl>
      <w:tblPr>
        <w:tblW w:w="9865" w:type="dxa"/>
        <w:jc w:val="center"/>
        <w:tblInd w:w="0" w:type="dxa"/>
        <w:tblLayout w:type="fixed"/>
        <w:tblCellMar>
          <w:top w:w="55" w:type="dxa"/>
          <w:left w:w="55" w:type="dxa"/>
          <w:bottom w:w="55" w:type="dxa"/>
          <w:right w:w="55" w:type="dxa"/>
        </w:tblCellMar>
        <w:tblLook w:firstRow="0" w:noVBand="0" w:lastRow="0" w:firstColumn="0" w:lastColumn="0" w:noHBand="0" w:val="0000"/>
      </w:tblPr>
      <w:tblGrid>
        <w:gridCol w:w="785"/>
        <w:gridCol w:w="4110"/>
        <w:gridCol w:w="851"/>
        <w:gridCol w:w="992"/>
        <w:gridCol w:w="1418"/>
        <w:gridCol w:w="1708"/>
      </w:tblGrid>
      <w:tr>
        <w:trPr/>
        <w:tc>
          <w:tcPr>
            <w:tcW w:w="785" w:type="dxa"/>
            <w:tcBorders>
              <w:top w:val="single" w:sz="4" w:space="0" w:color="000000"/>
              <w:left w:val="single" w:sz="4" w:space="0" w:color="000000"/>
              <w:bottom w:val="single" w:sz="4" w:space="0" w:color="000000"/>
            </w:tcBorders>
          </w:tcPr>
          <w:p>
            <w:pPr>
              <w:pStyle w:val="Contedodatabela"/>
              <w:widowControl w:val="false"/>
              <w:spacing w:lineRule="auto" w:line="276"/>
              <w:jc w:val="center"/>
              <w:rPr>
                <w:rFonts w:ascii="Verdana" w:hAnsi="Verdana"/>
                <w:sz w:val="20"/>
              </w:rPr>
            </w:pPr>
            <w:r>
              <w:rPr>
                <w:rFonts w:ascii="Verdana" w:hAnsi="Verdana"/>
                <w:b/>
                <w:bCs/>
                <w:sz w:val="20"/>
              </w:rPr>
              <w:t>Item</w:t>
            </w:r>
          </w:p>
        </w:tc>
        <w:tc>
          <w:tcPr>
            <w:tcW w:w="4110" w:type="dxa"/>
            <w:tcBorders>
              <w:top w:val="single" w:sz="4" w:space="0" w:color="000000"/>
              <w:left w:val="single" w:sz="4" w:space="0" w:color="000000"/>
              <w:bottom w:val="single" w:sz="4" w:space="0" w:color="000000"/>
            </w:tcBorders>
          </w:tcPr>
          <w:p>
            <w:pPr>
              <w:pStyle w:val="Contedodatabela"/>
              <w:widowControl w:val="false"/>
              <w:spacing w:lineRule="auto" w:line="276"/>
              <w:jc w:val="center"/>
              <w:rPr>
                <w:rFonts w:ascii="Verdana" w:hAnsi="Verdana"/>
                <w:sz w:val="20"/>
              </w:rPr>
            </w:pPr>
            <w:r>
              <w:rPr>
                <w:rFonts w:ascii="Verdana" w:hAnsi="Verdana"/>
                <w:b/>
                <w:bCs/>
                <w:sz w:val="20"/>
              </w:rPr>
              <w:t>Descrição</w:t>
            </w:r>
          </w:p>
        </w:tc>
        <w:tc>
          <w:tcPr>
            <w:tcW w:w="851" w:type="dxa"/>
            <w:tcBorders>
              <w:top w:val="single" w:sz="4" w:space="0" w:color="000000"/>
              <w:left w:val="single" w:sz="4" w:space="0" w:color="000000"/>
              <w:bottom w:val="single" w:sz="4" w:space="0" w:color="000000"/>
            </w:tcBorders>
          </w:tcPr>
          <w:p>
            <w:pPr>
              <w:pStyle w:val="Contedodatabela"/>
              <w:widowControl w:val="false"/>
              <w:spacing w:lineRule="auto" w:line="276"/>
              <w:jc w:val="center"/>
              <w:rPr>
                <w:rFonts w:ascii="Verdana" w:hAnsi="Verdana"/>
                <w:sz w:val="20"/>
              </w:rPr>
            </w:pPr>
            <w:r>
              <w:rPr>
                <w:rFonts w:ascii="Verdana" w:hAnsi="Verdana"/>
                <w:b/>
                <w:bCs/>
                <w:sz w:val="20"/>
              </w:rPr>
              <w:t>Und.</w:t>
            </w:r>
          </w:p>
        </w:tc>
        <w:tc>
          <w:tcPr>
            <w:tcW w:w="992" w:type="dxa"/>
            <w:tcBorders>
              <w:top w:val="single" w:sz="4" w:space="0" w:color="000000"/>
              <w:left w:val="single" w:sz="4" w:space="0" w:color="000000"/>
              <w:bottom w:val="single" w:sz="4" w:space="0" w:color="000000"/>
            </w:tcBorders>
          </w:tcPr>
          <w:p>
            <w:pPr>
              <w:pStyle w:val="Contedodatabela"/>
              <w:widowControl w:val="false"/>
              <w:spacing w:lineRule="auto" w:line="276"/>
              <w:jc w:val="center"/>
              <w:rPr>
                <w:rFonts w:ascii="Verdana" w:hAnsi="Verdana"/>
                <w:sz w:val="20"/>
              </w:rPr>
            </w:pPr>
            <w:r>
              <w:rPr>
                <w:rFonts w:ascii="Verdana" w:hAnsi="Verdana"/>
                <w:b/>
                <w:bCs/>
                <w:sz w:val="20"/>
              </w:rPr>
              <w:t>Quant.</w:t>
            </w:r>
          </w:p>
        </w:tc>
        <w:tc>
          <w:tcPr>
            <w:tcW w:w="1418" w:type="dxa"/>
            <w:tcBorders>
              <w:top w:val="single" w:sz="4" w:space="0" w:color="000000"/>
              <w:left w:val="single" w:sz="4" w:space="0" w:color="000000"/>
              <w:bottom w:val="single" w:sz="4" w:space="0" w:color="000000"/>
            </w:tcBorders>
          </w:tcPr>
          <w:p>
            <w:pPr>
              <w:pStyle w:val="Contedodatabela"/>
              <w:widowControl w:val="false"/>
              <w:spacing w:lineRule="auto" w:line="276"/>
              <w:jc w:val="center"/>
              <w:rPr>
                <w:rFonts w:ascii="Verdana" w:hAnsi="Verdana"/>
                <w:sz w:val="20"/>
              </w:rPr>
            </w:pPr>
            <w:r>
              <w:rPr>
                <w:rFonts w:ascii="Verdana" w:hAnsi="Verdana"/>
                <w:b/>
                <w:bCs/>
                <w:sz w:val="20"/>
              </w:rPr>
              <w:t>Valor estimado unitário</w:t>
            </w:r>
          </w:p>
        </w:tc>
        <w:tc>
          <w:tcPr>
            <w:tcW w:w="1708"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b/>
                <w:bCs/>
                <w:sz w:val="20"/>
              </w:rPr>
              <w:t>Valor estimado total</w:t>
            </w:r>
          </w:p>
        </w:tc>
      </w:tr>
      <w:tr>
        <w:trPr/>
        <w:tc>
          <w:tcPr>
            <w:tcW w:w="785" w:type="dxa"/>
            <w:tcBorders>
              <w:left w:val="single" w:sz="4" w:space="0" w:color="000000"/>
              <w:bottom w:val="single" w:sz="4" w:space="0" w:color="000000"/>
            </w:tcBorders>
            <w:vAlign w:val="center"/>
          </w:tcPr>
          <w:p>
            <w:pPr>
              <w:pStyle w:val="Contedodatabela"/>
              <w:widowControl w:val="false"/>
              <w:spacing w:lineRule="auto" w:line="276"/>
              <w:jc w:val="center"/>
              <w:rPr>
                <w:rFonts w:ascii="Verdana" w:hAnsi="Verdana"/>
                <w:sz w:val="20"/>
              </w:rPr>
            </w:pPr>
            <w:r>
              <w:rPr>
                <w:rFonts w:ascii="Verdana" w:hAnsi="Verdana"/>
                <w:sz w:val="20"/>
              </w:rPr>
              <w:t>01</w:t>
            </w:r>
          </w:p>
        </w:tc>
        <w:tc>
          <w:tcPr>
            <w:tcW w:w="4110" w:type="dxa"/>
            <w:tcBorders>
              <w:left w:val="single" w:sz="4" w:space="0" w:color="000000"/>
              <w:bottom w:val="single" w:sz="4" w:space="0" w:color="000000"/>
            </w:tcBorders>
          </w:tcPr>
          <w:p>
            <w:pPr>
              <w:pStyle w:val="ListParagraph"/>
              <w:widowControl w:val="false"/>
              <w:spacing w:lineRule="auto" w:line="276"/>
              <w:ind w:left="0"/>
              <w:jc w:val="both"/>
              <w:rPr>
                <w:rFonts w:ascii="Verdana" w:hAnsi="Verdana"/>
                <w:szCs w:val="20"/>
              </w:rPr>
            </w:pPr>
            <w:r>
              <w:rPr>
                <w:rFonts w:cs="Arial" w:ascii="Verdana" w:hAnsi="Verdana"/>
                <w:szCs w:val="20"/>
              </w:rPr>
              <w:t>Gerador de energia a gasolina – 4t – 208cc – 7hp – 3.5 a 3.75kva – bivolt, capacidade do tanque 12 a 15 litros, partida manual</w:t>
            </w:r>
          </w:p>
        </w:tc>
        <w:tc>
          <w:tcPr>
            <w:tcW w:w="851" w:type="dxa"/>
            <w:tcBorders>
              <w:left w:val="single" w:sz="4" w:space="0" w:color="000000"/>
              <w:bottom w:val="single" w:sz="4" w:space="0" w:color="000000"/>
            </w:tcBorders>
            <w:vAlign w:val="center"/>
          </w:tcPr>
          <w:p>
            <w:pPr>
              <w:pStyle w:val="TableParagraph"/>
              <w:spacing w:lineRule="auto" w:line="276" w:before="183" w:after="0"/>
              <w:ind w:left="2" w:right="33"/>
              <w:jc w:val="center"/>
              <w:rPr>
                <w:rFonts w:ascii="Verdana" w:hAnsi="Verdana"/>
                <w:sz w:val="20"/>
                <w:szCs w:val="20"/>
              </w:rPr>
            </w:pPr>
            <w:r>
              <w:rPr>
                <w:rFonts w:ascii="Verdana" w:hAnsi="Verdana"/>
                <w:spacing w:val="-5"/>
                <w:sz w:val="20"/>
                <w:szCs w:val="20"/>
              </w:rPr>
              <w:t>Und</w:t>
            </w:r>
          </w:p>
        </w:tc>
        <w:tc>
          <w:tcPr>
            <w:tcW w:w="992" w:type="dxa"/>
            <w:tcBorders>
              <w:left w:val="single" w:sz="4" w:space="0" w:color="000000"/>
              <w:bottom w:val="single" w:sz="4" w:space="0" w:color="000000"/>
            </w:tcBorders>
            <w:vAlign w:val="center"/>
          </w:tcPr>
          <w:p>
            <w:pPr>
              <w:pStyle w:val="TableParagraph"/>
              <w:spacing w:lineRule="auto" w:line="276" w:before="183" w:after="0"/>
              <w:ind w:left="171"/>
              <w:jc w:val="center"/>
              <w:rPr>
                <w:rFonts w:ascii="Verdana" w:hAnsi="Verdana"/>
                <w:sz w:val="20"/>
                <w:szCs w:val="20"/>
              </w:rPr>
            </w:pPr>
            <w:r>
              <w:rPr>
                <w:rFonts w:ascii="Verdana" w:hAnsi="Verdana"/>
                <w:spacing w:val="-2"/>
                <w:sz w:val="20"/>
                <w:szCs w:val="20"/>
              </w:rPr>
              <w:t>01</w:t>
            </w:r>
          </w:p>
        </w:tc>
        <w:tc>
          <w:tcPr>
            <w:tcW w:w="1418" w:type="dxa"/>
            <w:tcBorders>
              <w:left w:val="single" w:sz="4" w:space="0" w:color="000000"/>
              <w:bottom w:val="single" w:sz="4" w:space="0" w:color="000000"/>
            </w:tcBorders>
            <w:vAlign w:val="center"/>
          </w:tcPr>
          <w:p>
            <w:pPr>
              <w:pStyle w:val="TableParagraph"/>
              <w:spacing w:lineRule="auto" w:line="276" w:before="183" w:after="0"/>
              <w:ind w:right="36"/>
              <w:jc w:val="center"/>
              <w:rPr>
                <w:rFonts w:ascii="Verdana" w:hAnsi="Verdana"/>
                <w:sz w:val="20"/>
                <w:szCs w:val="20"/>
              </w:rPr>
            </w:pPr>
            <w:r>
              <w:rPr>
                <w:rFonts w:ascii="Verdana" w:hAnsi="Verdana"/>
                <w:spacing w:val="-2"/>
                <w:sz w:val="20"/>
                <w:szCs w:val="20"/>
              </w:rPr>
              <w:t>R$ 2.104,50</w:t>
            </w:r>
          </w:p>
        </w:tc>
        <w:tc>
          <w:tcPr>
            <w:tcW w:w="1708" w:type="dxa"/>
            <w:tcBorders>
              <w:left w:val="single" w:sz="4" w:space="0" w:color="000000"/>
              <w:bottom w:val="single" w:sz="4" w:space="0" w:color="000000"/>
              <w:right w:val="single" w:sz="4" w:space="0" w:color="000000"/>
            </w:tcBorders>
            <w:vAlign w:val="center"/>
          </w:tcPr>
          <w:p>
            <w:pPr>
              <w:pStyle w:val="TableParagraph"/>
              <w:spacing w:lineRule="auto" w:line="276" w:before="183" w:after="0"/>
              <w:ind w:right="36"/>
              <w:jc w:val="center"/>
              <w:rPr>
                <w:rFonts w:ascii="Verdana" w:hAnsi="Verdana"/>
                <w:sz w:val="20"/>
                <w:szCs w:val="20"/>
              </w:rPr>
            </w:pPr>
            <w:r>
              <w:rPr>
                <w:rFonts w:ascii="Verdana" w:hAnsi="Verdana"/>
                <w:spacing w:val="-2"/>
                <w:sz w:val="20"/>
                <w:szCs w:val="20"/>
              </w:rPr>
              <w:t>R$ 2.104,50</w:t>
            </w:r>
          </w:p>
        </w:tc>
      </w:tr>
      <w:tr>
        <w:trPr/>
        <w:tc>
          <w:tcPr>
            <w:tcW w:w="785" w:type="dxa"/>
            <w:tcBorders>
              <w:left w:val="single" w:sz="4" w:space="0" w:color="000000"/>
              <w:bottom w:val="single" w:sz="4" w:space="0" w:color="000000"/>
            </w:tcBorders>
            <w:vAlign w:val="center"/>
          </w:tcPr>
          <w:p>
            <w:pPr>
              <w:pStyle w:val="Contedodatabela"/>
              <w:widowControl w:val="false"/>
              <w:spacing w:lineRule="auto" w:line="276"/>
              <w:jc w:val="center"/>
              <w:rPr>
                <w:rFonts w:ascii="Verdana" w:hAnsi="Verdana"/>
                <w:sz w:val="20"/>
              </w:rPr>
            </w:pPr>
            <w:r>
              <w:rPr>
                <w:rFonts w:ascii="Verdana" w:hAnsi="Verdana"/>
                <w:sz w:val="20"/>
              </w:rPr>
              <w:t>02</w:t>
            </w:r>
          </w:p>
        </w:tc>
        <w:tc>
          <w:tcPr>
            <w:tcW w:w="4110" w:type="dxa"/>
            <w:tcBorders>
              <w:left w:val="single" w:sz="4" w:space="0" w:color="000000"/>
              <w:bottom w:val="single" w:sz="4" w:space="0" w:color="000000"/>
            </w:tcBorders>
          </w:tcPr>
          <w:p>
            <w:pPr>
              <w:pStyle w:val="ListParagraph"/>
              <w:widowControl w:val="false"/>
              <w:spacing w:lineRule="auto" w:line="276"/>
              <w:ind w:left="0"/>
              <w:jc w:val="both"/>
              <w:rPr>
                <w:rFonts w:ascii="Verdana" w:hAnsi="Verdana"/>
                <w:szCs w:val="20"/>
              </w:rPr>
            </w:pPr>
            <w:r>
              <w:rPr>
                <w:rFonts w:ascii="Verdana" w:hAnsi="Verdana"/>
                <w:szCs w:val="20"/>
              </w:rPr>
              <w:t>Martelete perfurador rompedor – 800 a 1000w – 220v – sds plus</w:t>
            </w:r>
          </w:p>
        </w:tc>
        <w:tc>
          <w:tcPr>
            <w:tcW w:w="851" w:type="dxa"/>
            <w:tcBorders>
              <w:left w:val="single" w:sz="4" w:space="0" w:color="000000"/>
              <w:bottom w:val="single" w:sz="4" w:space="0" w:color="000000"/>
            </w:tcBorders>
            <w:vAlign w:val="center"/>
          </w:tcPr>
          <w:p>
            <w:pPr>
              <w:pStyle w:val="TableParagraph"/>
              <w:spacing w:lineRule="auto" w:line="276" w:before="21" w:after="0"/>
              <w:jc w:val="center"/>
              <w:rPr>
                <w:rFonts w:ascii="Verdana" w:hAnsi="Verdana"/>
                <w:sz w:val="20"/>
                <w:szCs w:val="20"/>
              </w:rPr>
            </w:pPr>
            <w:r>
              <w:rPr>
                <w:rFonts w:ascii="Verdana" w:hAnsi="Verdana"/>
                <w:spacing w:val="-5"/>
                <w:sz w:val="20"/>
                <w:szCs w:val="20"/>
              </w:rPr>
              <w:t>Und</w:t>
            </w:r>
          </w:p>
        </w:tc>
        <w:tc>
          <w:tcPr>
            <w:tcW w:w="992" w:type="dxa"/>
            <w:tcBorders>
              <w:left w:val="single" w:sz="4" w:space="0" w:color="000000"/>
              <w:bottom w:val="single" w:sz="4" w:space="0" w:color="000000"/>
            </w:tcBorders>
            <w:vAlign w:val="center"/>
          </w:tcPr>
          <w:p>
            <w:pPr>
              <w:pStyle w:val="TableParagraph"/>
              <w:spacing w:lineRule="auto" w:line="276" w:before="21" w:after="0"/>
              <w:jc w:val="center"/>
              <w:rPr>
                <w:rFonts w:ascii="Verdana" w:hAnsi="Verdana"/>
                <w:sz w:val="20"/>
                <w:szCs w:val="20"/>
              </w:rPr>
            </w:pPr>
            <w:r>
              <w:rPr>
                <w:rFonts w:ascii="Verdana" w:hAnsi="Verdana"/>
                <w:spacing w:val="-2"/>
                <w:sz w:val="20"/>
                <w:szCs w:val="20"/>
              </w:rPr>
              <w:t>01</w:t>
            </w:r>
          </w:p>
        </w:tc>
        <w:tc>
          <w:tcPr>
            <w:tcW w:w="1418" w:type="dxa"/>
            <w:tcBorders>
              <w:left w:val="single" w:sz="4" w:space="0" w:color="000000"/>
              <w:bottom w:val="single" w:sz="4" w:space="0" w:color="000000"/>
            </w:tcBorders>
            <w:vAlign w:val="center"/>
          </w:tcPr>
          <w:p>
            <w:pPr>
              <w:pStyle w:val="TableParagraph"/>
              <w:spacing w:lineRule="auto" w:line="276" w:before="183" w:after="0"/>
              <w:ind w:right="36"/>
              <w:jc w:val="center"/>
              <w:rPr>
                <w:rFonts w:ascii="Verdana" w:hAnsi="Verdana"/>
                <w:sz w:val="20"/>
                <w:szCs w:val="20"/>
              </w:rPr>
            </w:pPr>
            <w:r>
              <w:rPr>
                <w:rFonts w:ascii="Verdana" w:hAnsi="Verdana"/>
                <w:spacing w:val="-2"/>
                <w:sz w:val="20"/>
                <w:szCs w:val="20"/>
              </w:rPr>
              <w:t>R$ 1.418,85</w:t>
            </w:r>
          </w:p>
        </w:tc>
        <w:tc>
          <w:tcPr>
            <w:tcW w:w="1708" w:type="dxa"/>
            <w:tcBorders>
              <w:left w:val="single" w:sz="4" w:space="0" w:color="000000"/>
              <w:bottom w:val="single" w:sz="4" w:space="0" w:color="000000"/>
              <w:right w:val="single" w:sz="4" w:space="0" w:color="000000"/>
            </w:tcBorders>
            <w:vAlign w:val="center"/>
          </w:tcPr>
          <w:p>
            <w:pPr>
              <w:pStyle w:val="TableParagraph"/>
              <w:spacing w:lineRule="auto" w:line="276" w:before="183" w:after="0"/>
              <w:ind w:right="36"/>
              <w:jc w:val="center"/>
              <w:rPr>
                <w:rFonts w:ascii="Verdana" w:hAnsi="Verdana"/>
                <w:sz w:val="20"/>
                <w:szCs w:val="20"/>
              </w:rPr>
            </w:pPr>
            <w:r>
              <w:rPr>
                <w:rFonts w:ascii="Verdana" w:hAnsi="Verdana"/>
                <w:spacing w:val="-2"/>
                <w:sz w:val="20"/>
                <w:szCs w:val="20"/>
              </w:rPr>
              <w:t>R$ 1.418,85</w:t>
            </w:r>
          </w:p>
        </w:tc>
      </w:tr>
      <w:tr>
        <w:trPr>
          <w:trHeight w:val="499" w:hRule="atLeast"/>
        </w:trPr>
        <w:tc>
          <w:tcPr>
            <w:tcW w:w="9864" w:type="dxa"/>
            <w:gridSpan w:val="6"/>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2" w:right="33"/>
              <w:jc w:val="center"/>
              <w:rPr>
                <w:rFonts w:ascii="Verdana" w:hAnsi="Verdana"/>
                <w:sz w:val="20"/>
                <w:szCs w:val="20"/>
              </w:rPr>
            </w:pPr>
            <w:r>
              <w:rPr>
                <w:rFonts w:ascii="Verdana" w:hAnsi="Verdana"/>
                <w:b/>
                <w:bCs/>
                <w:spacing w:val="-5"/>
                <w:sz w:val="20"/>
                <w:szCs w:val="20"/>
              </w:rPr>
              <w:t>VALOR TOTAL ESTIMADO:</w:t>
            </w:r>
            <w:r>
              <w:rPr>
                <w:rFonts w:ascii="Verdana" w:hAnsi="Verdana"/>
                <w:spacing w:val="-5"/>
                <w:sz w:val="20"/>
                <w:szCs w:val="20"/>
              </w:rPr>
              <w:t xml:space="preserve"> R$  3.523,35 (três mil quinhentos e vinte e três reais e trinta e cinco centavos)</w:t>
            </w:r>
          </w:p>
        </w:tc>
      </w:tr>
    </w:tbl>
    <w:p>
      <w:pPr>
        <w:pStyle w:val="PADRO"/>
        <w:keepNext w:val="false"/>
        <w:widowControl/>
        <w:shd w:val="clear" w:color="auto" w:fill="auto"/>
        <w:tabs>
          <w:tab w:val="clear" w:pos="708"/>
          <w:tab w:val="left" w:pos="284" w:leader="none"/>
          <w:tab w:val="left" w:pos="426" w:leader="none"/>
        </w:tabs>
        <w:spacing w:before="0" w:after="0"/>
        <w:ind w:hanging="0"/>
        <w:rPr>
          <w:rFonts w:ascii="Verdana" w:hAnsi="Verdana" w:cs="Arial"/>
          <w:szCs w:val="20"/>
        </w:rPr>
      </w:pPr>
      <w:r>
        <w:rPr>
          <w:rFonts w:cs="Arial" w:ascii="Verdana" w:hAnsi="Verdana"/>
          <w:szCs w:val="20"/>
        </w:rPr>
      </w:r>
    </w:p>
    <w:p>
      <w:pPr>
        <w:pStyle w:val="PADRO"/>
        <w:keepNext w:val="false"/>
        <w:widowControl/>
        <w:numPr>
          <w:ilvl w:val="1"/>
          <w:numId w:val="1"/>
        </w:numPr>
        <w:shd w:val="clear" w:color="auto" w:fill="auto"/>
        <w:spacing w:before="0" w:after="0"/>
        <w:ind w:hanging="0" w:left="0"/>
        <w:rPr>
          <w:rFonts w:ascii="Verdana" w:hAnsi="Verdana" w:cs="Arial"/>
          <w:szCs w:val="20"/>
        </w:rPr>
      </w:pPr>
      <w:r>
        <w:rPr>
          <w:rFonts w:cs="Arial" w:ascii="Verdana" w:hAnsi="Verdana"/>
          <w:szCs w:val="20"/>
        </w:rPr>
        <w:t xml:space="preserve"> </w:t>
      </w:r>
      <w:r>
        <w:rPr>
          <w:rFonts w:cs="Arial" w:ascii="Verdana" w:hAnsi="Verdana"/>
          <w:szCs w:val="20"/>
        </w:rPr>
        <w:t>O critério de julgamento adotado será o</w:t>
      </w:r>
      <w:r>
        <w:rPr>
          <w:rFonts w:cs="Arial" w:ascii="Verdana" w:hAnsi="Verdana"/>
          <w:i/>
          <w:iCs/>
          <w:szCs w:val="20"/>
        </w:rPr>
        <w:t xml:space="preserve"> </w:t>
      </w:r>
      <w:r>
        <w:rPr>
          <w:rFonts w:cs="Arial" w:ascii="Verdana" w:hAnsi="Verdana"/>
          <w:b/>
          <w:bCs/>
          <w:i/>
          <w:szCs w:val="20"/>
        </w:rPr>
        <w:t>menor preço por item</w:t>
      </w:r>
      <w:r>
        <w:rPr>
          <w:rFonts w:cs="Arial" w:ascii="Verdana" w:hAnsi="Verdana"/>
          <w:b/>
          <w:bCs/>
          <w:i/>
          <w:iCs/>
          <w:szCs w:val="20"/>
        </w:rPr>
        <w:t>,</w:t>
      </w:r>
      <w:r>
        <w:rPr>
          <w:rFonts w:cs="Arial" w:ascii="Verdana" w:hAnsi="Verdana"/>
          <w:szCs w:val="20"/>
        </w:rPr>
        <w:t xml:space="preserve"> observadas as exigências contidas neste Aviso de Contratação Direta e seus Anexos quanto às especificações do objeto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PARTICIPAÇÃO NA DISPENSA ELETRÔNICA</w:t>
      </w:r>
    </w:p>
    <w:p>
      <w:pPr>
        <w:pStyle w:val="Normal"/>
        <w:numPr>
          <w:ilvl w:val="1"/>
          <w:numId w:val="1"/>
        </w:numPr>
        <w:snapToGrid w:val="false"/>
        <w:spacing w:lineRule="auto" w:line="276"/>
        <w:ind w:hanging="0" w:left="0"/>
        <w:jc w:val="both"/>
        <w:rPr>
          <w:rFonts w:ascii="Verdana" w:hAnsi="Verdana" w:cs="Arial"/>
          <w:szCs w:val="20"/>
        </w:rPr>
      </w:pPr>
      <w:r>
        <w:rPr>
          <w:rFonts w:eastAsia="Calibri" w:cs="ArialMT" w:ascii="Verdana" w:hAnsi="Verdana" w:eastAsiaTheme="minorHAnsi"/>
          <w:szCs w:val="20"/>
          <w:lang w:eastAsia="en-US"/>
        </w:rPr>
        <w:t>Os fornecedores deverão se cadastrar previamente no Portal de Compras Públicas para acesso ao sistema e operacionalização</w:t>
      </w:r>
    </w:p>
    <w:p>
      <w:pPr>
        <w:pStyle w:val="Normal"/>
        <w:numPr>
          <w:ilvl w:val="2"/>
          <w:numId w:val="1"/>
        </w:numPr>
        <w:snapToGrid w:val="false"/>
        <w:spacing w:lineRule="auto" w:line="276"/>
        <w:ind w:hanging="0" w:left="567"/>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ind w:hanging="0" w:left="567"/>
        <w:jc w:val="both"/>
        <w:rPr>
          <w:rFonts w:ascii="Verdana" w:hAnsi="Verdana" w:cs="Arial"/>
          <w:szCs w:val="20"/>
        </w:rPr>
      </w:pPr>
      <w:r>
        <w:rPr>
          <w:rFonts w:cs="Arial" w:ascii="Verdana" w:hAnsi="Verdana"/>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ind w:hanging="0" w:left="0"/>
        <w:jc w:val="both"/>
        <w:rPr>
          <w:rFonts w:ascii="Verdana" w:hAnsi="Verdana" w:cs="Arial"/>
          <w:szCs w:val="20"/>
        </w:rPr>
      </w:pPr>
      <w:r>
        <w:rPr>
          <w:rFonts w:eastAsia="Calibri" w:cs="ArialMT" w:ascii="Verdana" w:hAnsi="Verdana" w:eastAsiaTheme="minorHAnsi"/>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ind w:firstLine="21" w:left="567"/>
        <w:jc w:val="both"/>
        <w:rPr>
          <w:rFonts w:ascii="Verdana" w:hAnsi="Verdana" w:cs="Arial"/>
          <w:szCs w:val="20"/>
        </w:rPr>
      </w:pPr>
      <w:r>
        <w:rPr>
          <w:rFonts w:cs="Arial" w:ascii="Verdana" w:hAnsi="Verdana"/>
          <w:szCs w:val="20"/>
        </w:rPr>
        <w:t>que não atendam às condições deste Aviso de Contratação Direta e seu(s) anexo(s);</w:t>
      </w:r>
    </w:p>
    <w:p>
      <w:pPr>
        <w:pStyle w:val="Normal"/>
        <w:numPr>
          <w:ilvl w:val="2"/>
          <w:numId w:val="1"/>
        </w:numPr>
        <w:spacing w:lineRule="auto" w:line="276"/>
        <w:ind w:hanging="0" w:left="567"/>
        <w:jc w:val="both"/>
        <w:rPr>
          <w:rFonts w:ascii="Verdana" w:hAnsi="Verdana" w:cs="Arial"/>
          <w:szCs w:val="20"/>
        </w:rPr>
      </w:pPr>
      <w:r>
        <w:rPr>
          <w:rFonts w:cs="Arial" w:ascii="Verdana" w:hAnsi="Verdana"/>
          <w:szCs w:val="20"/>
        </w:rPr>
        <w:t>estrangeiros que não tenham representação legal no Brasil com poderes expressos para receber citação e responder administrativa ou judicialmente;</w:t>
      </w:r>
    </w:p>
    <w:p>
      <w:pPr>
        <w:pStyle w:val="Normal"/>
        <w:numPr>
          <w:ilvl w:val="2"/>
          <w:numId w:val="1"/>
        </w:numPr>
        <w:spacing w:lineRule="auto" w:line="276"/>
        <w:ind w:hanging="0" w:left="567"/>
        <w:jc w:val="both"/>
        <w:rPr>
          <w:rFonts w:ascii="Verdana" w:hAnsi="Verdana" w:cs="Arial"/>
          <w:szCs w:val="20"/>
        </w:rPr>
      </w:pPr>
      <w:r>
        <w:rPr>
          <w:rFonts w:cs="Arial" w:ascii="Verdana" w:hAnsi="Verdana"/>
          <w:szCs w:val="20"/>
        </w:rPr>
        <w:t>organizações da Sociedade Civil de Interesse Público - OSCIP, atuando nessa condição (Acórdão nº 746/2014-TCU-Plenário); e</w:t>
      </w:r>
    </w:p>
    <w:p>
      <w:pPr>
        <w:pStyle w:val="Normal"/>
        <w:numPr>
          <w:ilvl w:val="2"/>
          <w:numId w:val="1"/>
        </w:numPr>
        <w:spacing w:lineRule="auto" w:line="276"/>
        <w:ind w:firstLine="630" w:left="-70"/>
        <w:jc w:val="both"/>
        <w:rPr>
          <w:rFonts w:ascii="Verdana" w:hAnsi="Verdana" w:cs="Arial"/>
          <w:szCs w:val="20"/>
        </w:rPr>
      </w:pPr>
      <w:r>
        <w:rPr>
          <w:rFonts w:cs="Arial" w:ascii="Verdana" w:hAnsi="Verdana"/>
          <w:szCs w:val="20"/>
        </w:rPr>
        <w:t>que se enquadrem nas seguintes vedações:</w:t>
      </w:r>
    </w:p>
    <w:p>
      <w:pPr>
        <w:pStyle w:val="ListParagraph"/>
        <w:numPr>
          <w:ilvl w:val="0"/>
          <w:numId w:val="4"/>
        </w:numPr>
        <w:spacing w:lineRule="auto" w:line="276"/>
        <w:jc w:val="both"/>
        <w:rPr>
          <w:rFonts w:ascii="Verdana" w:hAnsi="Verdana" w:cs="Arial"/>
          <w:szCs w:val="20"/>
        </w:rPr>
      </w:pPr>
      <w:r>
        <w:rPr>
          <w:rFonts w:cs="Arial" w:ascii="Verdana" w:hAnsi="Verdana"/>
          <w:szCs w:val="20"/>
        </w:rPr>
        <w:t>autor do anteprojeto, do projeto básico ou do projeto executivo, pessoa física ou jurídica, quando a contratação versar sobre obra, serviços ou fornecimento de bens a ele relacionados;</w:t>
      </w:r>
    </w:p>
    <w:p>
      <w:pPr>
        <w:pStyle w:val="ListParagraph"/>
        <w:numPr>
          <w:ilvl w:val="0"/>
          <w:numId w:val="4"/>
        </w:numPr>
        <w:spacing w:lineRule="auto" w:line="276"/>
        <w:jc w:val="both"/>
        <w:rPr>
          <w:rFonts w:ascii="Verdana" w:hAnsi="Verdana" w:cs="Arial"/>
          <w:szCs w:val="20"/>
        </w:rPr>
      </w:pPr>
      <w:r>
        <w:rPr>
          <w:rFonts w:cs="Arial" w:ascii="Verdana" w:hAnsi="Verdana"/>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ListParagraph"/>
        <w:numPr>
          <w:ilvl w:val="0"/>
          <w:numId w:val="4"/>
        </w:numPr>
        <w:spacing w:lineRule="auto" w:line="276"/>
        <w:jc w:val="both"/>
        <w:rPr>
          <w:rFonts w:ascii="Verdana" w:hAnsi="Verdana" w:cs="Arial"/>
          <w:szCs w:val="20"/>
        </w:rPr>
      </w:pPr>
      <w:r>
        <w:rPr>
          <w:rFonts w:cs="Arial" w:ascii="Verdana" w:hAnsi="Verdana"/>
          <w:szCs w:val="20"/>
        </w:rPr>
        <w:t>pessoa física ou jurídica que se encontre, ao tempo da contratação, impossibilitada de contratar em decorrência de sanção que lhe foi imposta;</w:t>
      </w:r>
    </w:p>
    <w:p>
      <w:pPr>
        <w:pStyle w:val="ListParagraph"/>
        <w:numPr>
          <w:ilvl w:val="0"/>
          <w:numId w:val="4"/>
        </w:numPr>
        <w:spacing w:lineRule="auto" w:line="276"/>
        <w:jc w:val="both"/>
        <w:rPr>
          <w:rFonts w:ascii="Verdana" w:hAnsi="Verdana" w:cs="Arial"/>
          <w:szCs w:val="20"/>
        </w:rPr>
      </w:pPr>
      <w:r>
        <w:rPr>
          <w:rFonts w:cs="Arial" w:ascii="Verdana" w:hAnsi="Verdana"/>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4"/>
        </w:numPr>
        <w:spacing w:lineRule="auto" w:line="276"/>
        <w:jc w:val="both"/>
        <w:rPr>
          <w:rFonts w:ascii="Verdana" w:hAnsi="Verdana" w:cs="Arial"/>
          <w:szCs w:val="20"/>
        </w:rPr>
      </w:pPr>
      <w:r>
        <w:rPr>
          <w:rFonts w:cs="Arial" w:ascii="Verdana" w:hAnsi="Verdana"/>
          <w:szCs w:val="20"/>
        </w:rPr>
        <w:t>empresas controladoras, controladas ou coligadas, nos termos da </w:t>
      </w:r>
      <w:hyperlink r:id="rId3">
        <w:r>
          <w:rPr>
            <w:rStyle w:val="Hyperlink"/>
            <w:rFonts w:eastAsia="Calibri" w:cs="Arial" w:ascii="Verdana" w:hAnsi="Verdana"/>
            <w:color w:val="auto"/>
            <w:szCs w:val="20"/>
          </w:rPr>
          <w:t>Lei nº 6.404, de 15 de dezembro de 1976</w:t>
        </w:r>
      </w:hyperlink>
      <w:r>
        <w:rPr>
          <w:rFonts w:cs="Arial" w:ascii="Verdana" w:hAnsi="Verdana"/>
          <w:szCs w:val="20"/>
        </w:rPr>
        <w:t>, concorrendo entre si;</w:t>
      </w:r>
    </w:p>
    <w:p>
      <w:pPr>
        <w:pStyle w:val="ListParagraph"/>
        <w:numPr>
          <w:ilvl w:val="0"/>
          <w:numId w:val="4"/>
        </w:numPr>
        <w:spacing w:lineRule="auto" w:line="276"/>
        <w:jc w:val="both"/>
        <w:rPr>
          <w:rFonts w:ascii="Verdana" w:hAnsi="Verdana" w:cs="Arial"/>
          <w:szCs w:val="20"/>
        </w:rPr>
      </w:pPr>
      <w:r>
        <w:rPr>
          <w:rFonts w:cs="Arial" w:ascii="Verdana" w:hAnsi="Verdana"/>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jc w:val="both"/>
        <w:rPr>
          <w:rFonts w:ascii="Verdana" w:hAnsi="Verdana" w:cs="Arial"/>
          <w:szCs w:val="20"/>
        </w:rPr>
      </w:pPr>
      <w:r>
        <w:rPr>
          <w:rFonts w:cs="Arial" w:ascii="Verdana" w:hAnsi="Verdana"/>
          <w:szCs w:val="20"/>
        </w:rPr>
        <w:t>Equiparam-se aos autores do projeto as empresas integrantes do mesmo grupo econômico;</w:t>
      </w:r>
    </w:p>
    <w:p>
      <w:pPr>
        <w:pStyle w:val="Normal"/>
        <w:numPr>
          <w:ilvl w:val="3"/>
          <w:numId w:val="1"/>
        </w:numPr>
        <w:spacing w:lineRule="auto" w:line="276"/>
        <w:jc w:val="both"/>
        <w:rPr>
          <w:rFonts w:ascii="Verdana" w:hAnsi="Verdana" w:cs="Arial"/>
          <w:szCs w:val="20"/>
        </w:rPr>
      </w:pPr>
      <w:r>
        <w:rPr>
          <w:rFonts w:cs="Arial" w:ascii="Verdana" w:hAnsi="Verdana"/>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76"/>
        <w:ind w:left="658"/>
        <w:jc w:val="both"/>
        <w:rPr>
          <w:rFonts w:ascii="Verdana" w:hAnsi="Verdana"/>
        </w:rPr>
      </w:pPr>
      <w:r>
        <w:rPr>
          <w:rFonts w:cs="Arial" w:ascii="Verdana" w:hAnsi="Verdana"/>
          <w:b/>
          <w:bCs/>
          <w:szCs w:val="20"/>
        </w:rPr>
        <w:t xml:space="preserve">2.2.5 </w:t>
      </w:r>
      <w:r>
        <w:rPr>
          <w:rFonts w:ascii="Verdana" w:hAnsi="Verdana"/>
        </w:rPr>
        <w:t>Organizações da Sociedade Civil de Interesse Público - OSCIP, atuando nessa condição (Acórdão nº 746/2014-TCU-Plenário); e</w:t>
      </w:r>
    </w:p>
    <w:p>
      <w:pPr>
        <w:pStyle w:val="Normal"/>
        <w:spacing w:lineRule="auto" w:line="276"/>
        <w:jc w:val="both"/>
        <w:rPr>
          <w:rFonts w:ascii="Verdana" w:hAnsi="Verdana"/>
        </w:rPr>
      </w:pPr>
      <w:r>
        <w:rPr>
          <w:rFonts w:cs="Arial" w:ascii="Verdana" w:hAnsi="Verdana"/>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pPr>
        <w:pStyle w:val="Normal"/>
        <w:spacing w:lineRule="auto" w:line="276"/>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pPr>
        <w:pStyle w:val="Normal"/>
        <w:spacing w:lineRule="auto" w:line="276"/>
        <w:ind w:left="574"/>
        <w:jc w:val="both"/>
        <w:rPr>
          <w:rFonts w:ascii="Verdana" w:hAnsi="Verdana"/>
        </w:rPr>
      </w:pPr>
      <w:r>
        <w:rPr>
          <w:rFonts w:ascii="Verdana" w:hAnsi="Verdana"/>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INGRESSO NA DISPENSA ELETRÔNICA E CADASTRAMENTO DA PROPOSTA INICIAL</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O ingresso do fornecedor na disputa da dispensa eletrônica se dará com o cadastramento de sua proposta inicial, na forma deste item.</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tabs>
          <w:tab w:val="clear" w:pos="708"/>
          <w:tab w:val="left" w:pos="567" w:leader="none"/>
        </w:tabs>
        <w:snapToGrid w:val="false"/>
        <w:spacing w:lineRule="auto" w:line="276"/>
        <w:ind w:left="560"/>
        <w:jc w:val="both"/>
        <w:rPr>
          <w:rFonts w:ascii="Verdana" w:hAnsi="Verdana" w:cs="Arial"/>
          <w:szCs w:val="20"/>
        </w:rPr>
      </w:pPr>
      <w:r>
        <w:rPr>
          <w:rFonts w:cs="Arial" w:ascii="Verdana" w:hAnsi="Verdana"/>
          <w:b/>
          <w:bCs/>
          <w:szCs w:val="20"/>
        </w:rPr>
        <w:t>3.2.1.</w:t>
      </w:r>
      <w:r>
        <w:rPr>
          <w:rFonts w:cs="Arial" w:ascii="Verdana" w:hAnsi="Verdana"/>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Todas as especificações do objeto contidas na proposta, em especial o preço, vinculam a Contratada.</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tabs>
          <w:tab w:val="clear" w:pos="708"/>
          <w:tab w:val="left" w:pos="1560" w:leader="none"/>
        </w:tabs>
        <w:spacing w:lineRule="auto" w:line="276"/>
        <w:ind w:hanging="0" w:left="851"/>
        <w:jc w:val="both"/>
        <w:rPr>
          <w:rFonts w:ascii="Verdana" w:hAnsi="Verdana" w:cs="Arial"/>
          <w:szCs w:val="20"/>
        </w:rPr>
      </w:pPr>
      <w:r>
        <w:rPr>
          <w:rFonts w:cs="Arial" w:ascii="Verdana" w:hAnsi="Verdana"/>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Independentemente do percentual de tributo inserido na planilha, no pagamento serão retidos na fonte os percentuais estabelecidos na legislação vigente.</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cs="Arial" w:ascii="Verdana" w:hAnsi="Verdana"/>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Uma vez enviada a proposta no sistema, os fornecedores </w:t>
      </w:r>
      <w:r>
        <w:rPr>
          <w:rFonts w:cs="Arial" w:ascii="Verdana" w:hAnsi="Verdana"/>
          <w:b/>
          <w:bCs/>
          <w:szCs w:val="20"/>
        </w:rPr>
        <w:t>NÃO</w:t>
      </w:r>
      <w:r>
        <w:rPr>
          <w:rFonts w:cs="Arial" w:ascii="Verdana" w:hAnsi="Verdana"/>
          <w:szCs w:val="20"/>
        </w:rPr>
        <w:t xml:space="preserve"> poderão retirá-la, substituí-la ou modificá-la;</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No cadastramento da proposta inicial, o fornecedor deverá, também, assinalar “sim” ou “não” em campo próprio do sistema eletrônico, às seguintes declarações:</w:t>
      </w:r>
      <w:r>
        <w:rPr>
          <w:rFonts w:eastAsia="Zurich BT" w:cs="Arial" w:ascii="Verdana" w:hAnsi="Verdana"/>
          <w:szCs w:val="20"/>
        </w:rPr>
        <w:t xml:space="preserve"> </w:t>
      </w:r>
    </w:p>
    <w:p>
      <w:pPr>
        <w:pStyle w:val="ListParagraph"/>
        <w:numPr>
          <w:ilvl w:val="0"/>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inexistem fatos impeditivos para sua habilitação no certame, ciente da obrigatoriedade de declarar ocorrências posteriores;</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cumpre os requisitos estabelecidos no artigo 3° da Lei Complementar nº 123, de 2006, estando apto a usufruir do tratamento favorecido estabelecido em seus arts. 42 a 49.</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está ciente e concorda com as condições contidas no Aviso de Contratação Direta e seus anexos;</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assume a responsabilidade pelas transações que forem efetuadas no sistema, assumindo como firmes e verdadeiras;</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cumpre as exigências de reserva de cargos para pessoa com deficiência e para reabilitado da Previdência Social, de que trata o art. 93 da Lei nº 8.213/91.</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FASE DE LANCES</w:t>
      </w:r>
    </w:p>
    <w:p>
      <w:pPr>
        <w:pStyle w:val="ListParagraph"/>
        <w:numPr>
          <w:ilvl w:val="1"/>
          <w:numId w:val="1"/>
        </w:numPr>
        <w:tabs>
          <w:tab w:val="clear" w:pos="708"/>
          <w:tab w:val="left" w:pos="490" w:leader="none"/>
        </w:tabs>
        <w:spacing w:lineRule="auto" w:line="276"/>
        <w:ind w:hanging="0" w:left="0"/>
        <w:jc w:val="both"/>
        <w:rPr>
          <w:rFonts w:ascii="Verdana" w:hAnsi="Verdana" w:cs="Arial"/>
          <w:szCs w:val="20"/>
          <w:lang w:eastAsia="en-US"/>
        </w:rPr>
      </w:pPr>
      <w:r>
        <w:rPr>
          <w:rFonts w:cs="Arial" w:ascii="Verdana" w:hAnsi="Verdana"/>
          <w:szCs w:val="20"/>
          <w:lang w:eastAsia="en-US"/>
        </w:rPr>
        <w:t xml:space="preserve">A partir da data e horário estabelecidos neste Aviso de Contratação Direta, a sessão pública será automaticamente aberta pelo sistema para o envio de lances públicos e sucessivos, </w:t>
      </w:r>
      <w:r>
        <w:rPr>
          <w:rFonts w:cs="Arial" w:ascii="Verdana" w:hAnsi="Verdana"/>
          <w:bCs/>
          <w:szCs w:val="20"/>
          <w:lang w:eastAsia="en-US"/>
        </w:rPr>
        <w:t>exclusivamente por meio do sistema eletrônico</w:t>
      </w:r>
      <w:r>
        <w:rPr>
          <w:rFonts w:cs="Arial" w:ascii="Verdana" w:hAnsi="Verdana"/>
          <w:szCs w:val="20"/>
          <w:lang w:eastAsia="en-US"/>
        </w:rPr>
        <w:t>, sendo encerrado no horário de finalização de lances também já previsto neste aviso.</w:t>
      </w:r>
    </w:p>
    <w:p>
      <w:pPr>
        <w:pStyle w:val="ListParagraph"/>
        <w:numPr>
          <w:ilvl w:val="1"/>
          <w:numId w:val="1"/>
        </w:numPr>
        <w:tabs>
          <w:tab w:val="clear" w:pos="708"/>
          <w:tab w:val="left" w:pos="490" w:leader="none"/>
        </w:tabs>
        <w:spacing w:lineRule="auto" w:line="276"/>
        <w:ind w:hanging="0" w:left="0"/>
        <w:jc w:val="both"/>
        <w:rPr>
          <w:rFonts w:ascii="Verdana" w:hAnsi="Verdana" w:cs="Arial"/>
          <w:szCs w:val="20"/>
          <w:lang w:eastAsia="en-US"/>
        </w:rPr>
      </w:pPr>
      <w:r>
        <w:rPr>
          <w:rFonts w:cs="Arial" w:ascii="Verdana" w:hAnsi="Verdana"/>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jc w:val="both"/>
        <w:rPr>
          <w:rFonts w:ascii="Verdana" w:hAnsi="Verdana" w:cs="Arial"/>
          <w:b/>
          <w:bCs/>
          <w:szCs w:val="20"/>
          <w:lang w:eastAsia="en-US"/>
        </w:rPr>
      </w:pPr>
      <w:r>
        <w:rPr>
          <w:rFonts w:cs="Arial" w:ascii="Verdana" w:hAnsi="Verdana"/>
          <w:i/>
          <w:iCs/>
          <w:szCs w:val="20"/>
        </w:rPr>
        <w:t xml:space="preserve"> </w:t>
      </w:r>
      <w:r>
        <w:rPr>
          <w:rFonts w:cs="Arial" w:ascii="Verdana" w:hAnsi="Verdana"/>
          <w:b/>
          <w:bCs/>
          <w:szCs w:val="20"/>
        </w:rPr>
        <w:t>O lance deverá ser ofertado pelo valor unitário.</w:t>
      </w:r>
    </w:p>
    <w:p>
      <w:pPr>
        <w:pStyle w:val="ListParagraph"/>
        <w:numPr>
          <w:ilvl w:val="1"/>
          <w:numId w:val="1"/>
        </w:numPr>
        <w:tabs>
          <w:tab w:val="clear" w:pos="708"/>
          <w:tab w:val="left" w:pos="490" w:leader="none"/>
        </w:tabs>
        <w:spacing w:lineRule="auto" w:line="276"/>
        <w:ind w:hanging="0" w:left="0"/>
        <w:jc w:val="both"/>
        <w:rPr>
          <w:rFonts w:ascii="Verdana" w:hAnsi="Verdana" w:cs="Arial"/>
          <w:szCs w:val="20"/>
          <w:lang w:eastAsia="en-US"/>
        </w:rPr>
      </w:pPr>
      <w:r>
        <w:rPr>
          <w:rFonts w:cs="Arial" w:ascii="Verdana" w:hAnsi="Verdana"/>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jc w:val="both"/>
        <w:rPr>
          <w:rFonts w:ascii="Verdana" w:hAnsi="Verdana" w:cs="Arial"/>
          <w:szCs w:val="20"/>
          <w:lang w:eastAsia="en-US"/>
        </w:rPr>
      </w:pPr>
      <w:r>
        <w:rPr>
          <w:rFonts w:cs="Arial" w:ascii="Verdana" w:hAnsi="Verdana"/>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Havendo lances iguais ao menor já ofertado, prevalecerá aquele que for recebido e registrado primeiro no sistema.</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Caso o fornecedor não apresente lances, concorrerá com o valor de sua proposta.</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Durante o procedimento, os fornecedores serão informados, em tempo real, do valor do menor lance registrado, vedada a identificação do fornecedor.</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jc w:val="both"/>
        <w:rPr>
          <w:rFonts w:ascii="Verdana" w:hAnsi="Verdana" w:cs="Arial"/>
          <w:szCs w:val="20"/>
        </w:rPr>
      </w:pPr>
      <w:r>
        <w:rPr>
          <w:rFonts w:cs="Arial" w:ascii="Verdana" w:hAnsi="Verdana"/>
          <w:szCs w:val="20"/>
          <w:lang w:eastAsia="en-US"/>
        </w:rPr>
        <w:t>O encerramento da fase de lances ocorrerá de forma automática pontualmente no horário indicado, sem qualquer possibilidade de prorrogação e não havendo tempo aleatório ou mecanismo similar.</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JULGAMENTO DAS PROPOSTAS DE PREÇO</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No caso de o preço da proposta vencedora estar acima do estimado pela Administração, poderá haver a negociação de condições mais vantajosas.</w:t>
      </w:r>
    </w:p>
    <w:p>
      <w:pPr>
        <w:pStyle w:val="ListParagraph"/>
        <w:numPr>
          <w:ilvl w:val="2"/>
          <w:numId w:val="1"/>
        </w:numPr>
        <w:spacing w:lineRule="auto" w:line="276"/>
        <w:jc w:val="both"/>
        <w:rPr>
          <w:rFonts w:ascii="Verdana" w:hAnsi="Verdana" w:cs="Arial"/>
          <w:szCs w:val="20"/>
        </w:rPr>
      </w:pPr>
      <w:r>
        <w:rPr>
          <w:rFonts w:cs="Arial" w:ascii="Verdana" w:hAnsi="Verdana"/>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jc w:val="both"/>
        <w:rPr>
          <w:rFonts w:ascii="Verdana" w:hAnsi="Verdana" w:cs="Arial"/>
          <w:szCs w:val="20"/>
        </w:rPr>
      </w:pPr>
      <w:r>
        <w:rPr>
          <w:rFonts w:cs="Arial" w:ascii="Verdana" w:hAnsi="Verdana"/>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jc w:val="both"/>
        <w:rPr>
          <w:rFonts w:ascii="Verdana" w:hAnsi="Verdana" w:cs="Arial"/>
          <w:szCs w:val="20"/>
        </w:rPr>
      </w:pPr>
      <w:r>
        <w:rPr>
          <w:rFonts w:cs="Arial" w:ascii="Verdana" w:hAnsi="Verdana"/>
          <w:szCs w:val="20"/>
        </w:rPr>
        <w:t>Em qualquer caso, concluída a negociação, o resultado será registrado na ata do procedimento da dispensa eletrônica.</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Estando o preço compatível, será solicitado o envio da proposta e, se necessário, de documentos complementares, adequada ao último lance.</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 xml:space="preserve">O prazo de validade da proposta não será inferior a </w:t>
      </w:r>
      <w:r>
        <w:rPr>
          <w:rFonts w:cs="Arial" w:ascii="Verdana" w:hAnsi="Verdana"/>
          <w:b/>
          <w:bCs/>
          <w:szCs w:val="20"/>
        </w:rPr>
        <w:t>60 (sessenta) dias,</w:t>
      </w:r>
      <w:r>
        <w:rPr>
          <w:rFonts w:cs="Arial" w:ascii="Verdana" w:hAnsi="Verdana"/>
          <w:szCs w:val="20"/>
        </w:rPr>
        <w:t xml:space="preserve"> a contar da data de sua apresentação.</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lang w:eastAsia="en-US"/>
        </w:rPr>
        <w:t xml:space="preserve">Será desclassificada a proposta vencedora que: </w:t>
      </w:r>
    </w:p>
    <w:p>
      <w:pPr>
        <w:pStyle w:val="ListParagraph"/>
        <w:numPr>
          <w:ilvl w:val="2"/>
          <w:numId w:val="1"/>
        </w:numPr>
        <w:spacing w:lineRule="auto" w:line="276"/>
        <w:jc w:val="both"/>
        <w:rPr>
          <w:rFonts w:ascii="Verdana" w:hAnsi="Verdana" w:cs="Arial"/>
          <w:i/>
          <w:i/>
          <w:iCs/>
          <w:szCs w:val="20"/>
          <w:u w:val="single"/>
        </w:rPr>
      </w:pPr>
      <w:r>
        <w:rPr>
          <w:rFonts w:ascii="Verdana" w:hAnsi="Verdana"/>
          <w:i/>
          <w:iCs/>
          <w:highlight w:val="yellow"/>
          <w:u w:val="single"/>
        </w:rPr>
        <w:t>Apresentar preços unitários ou globais acima dos valores estabelecidos como de referência máxima.</w:t>
      </w:r>
    </w:p>
    <w:p>
      <w:pPr>
        <w:pStyle w:val="ListParagraph"/>
        <w:numPr>
          <w:ilvl w:val="2"/>
          <w:numId w:val="1"/>
        </w:numPr>
        <w:spacing w:lineRule="auto" w:line="276"/>
        <w:jc w:val="both"/>
        <w:rPr>
          <w:rFonts w:ascii="Verdana" w:hAnsi="Verdana" w:cs="Arial"/>
          <w:i/>
          <w:i/>
          <w:szCs w:val="20"/>
        </w:rPr>
      </w:pPr>
      <w:r>
        <w:rPr>
          <w:rFonts w:cs="Arial" w:ascii="Verdana" w:hAnsi="Verdana"/>
          <w:szCs w:val="20"/>
        </w:rPr>
        <w:t>contiver vícios insanáveis</w:t>
      </w:r>
      <w:r>
        <w:rPr>
          <w:rFonts w:cs="Arial" w:ascii="Verdana" w:hAnsi="Verdana"/>
          <w:iCs/>
          <w:szCs w:val="20"/>
        </w:rPr>
        <w:t>;</w:t>
      </w:r>
    </w:p>
    <w:p>
      <w:pPr>
        <w:pStyle w:val="ListParagraph"/>
        <w:numPr>
          <w:ilvl w:val="2"/>
          <w:numId w:val="1"/>
        </w:numPr>
        <w:spacing w:lineRule="auto" w:line="276"/>
        <w:jc w:val="both"/>
        <w:rPr>
          <w:rFonts w:ascii="Verdana" w:hAnsi="Verdana" w:cs="Arial"/>
          <w:i/>
          <w:i/>
          <w:szCs w:val="20"/>
        </w:rPr>
      </w:pPr>
      <w:r>
        <w:rPr>
          <w:rFonts w:cs="Arial" w:ascii="Verdana" w:hAnsi="Verdana"/>
          <w:szCs w:val="20"/>
        </w:rPr>
        <w:t>não obedecer às especificações técnicas pormenorizadas neste aviso ou em seus anexos</w:t>
      </w:r>
      <w:r>
        <w:rPr>
          <w:rFonts w:cs="Arial" w:ascii="Verdana" w:hAnsi="Verdana"/>
          <w:iCs/>
          <w:szCs w:val="20"/>
        </w:rPr>
        <w:t>;</w:t>
      </w:r>
    </w:p>
    <w:p>
      <w:pPr>
        <w:pStyle w:val="ListParagraph"/>
        <w:numPr>
          <w:ilvl w:val="2"/>
          <w:numId w:val="1"/>
        </w:numPr>
        <w:spacing w:lineRule="auto" w:line="276"/>
        <w:jc w:val="both"/>
        <w:rPr>
          <w:rFonts w:ascii="Verdana" w:hAnsi="Verdana" w:cs="Arial"/>
          <w:i/>
          <w:i/>
          <w:szCs w:val="20"/>
        </w:rPr>
      </w:pPr>
      <w:r>
        <w:rPr>
          <w:rFonts w:cs="Arial" w:ascii="Verdana" w:hAnsi="Verdana"/>
          <w:szCs w:val="20"/>
        </w:rPr>
        <w:t>apresentar preços inexequíveis ou permanecerem acima do preço máximo definido para a contratação;</w:t>
      </w:r>
    </w:p>
    <w:p>
      <w:pPr>
        <w:pStyle w:val="ListParagraph"/>
        <w:numPr>
          <w:ilvl w:val="2"/>
          <w:numId w:val="1"/>
        </w:numPr>
        <w:spacing w:lineRule="auto" w:line="276"/>
        <w:jc w:val="both"/>
        <w:rPr>
          <w:rFonts w:ascii="Verdana" w:hAnsi="Verdana" w:cs="Arial"/>
          <w:i/>
          <w:i/>
          <w:szCs w:val="20"/>
        </w:rPr>
      </w:pPr>
      <w:r>
        <w:rPr>
          <w:rFonts w:cs="Arial" w:ascii="Verdana" w:hAnsi="Verdana"/>
          <w:szCs w:val="20"/>
        </w:rPr>
        <w:t>não tiverem sua exequibilidade demonstrada, quando exigido pela Administração</w:t>
      </w:r>
      <w:r>
        <w:rPr>
          <w:rFonts w:cs="Arial" w:ascii="Verdana" w:hAnsi="Verdana"/>
          <w:iCs/>
          <w:szCs w:val="20"/>
        </w:rPr>
        <w:t>;</w:t>
      </w:r>
    </w:p>
    <w:p>
      <w:pPr>
        <w:pStyle w:val="ListParagraph"/>
        <w:numPr>
          <w:ilvl w:val="2"/>
          <w:numId w:val="1"/>
        </w:numPr>
        <w:spacing w:lineRule="auto" w:line="276"/>
        <w:jc w:val="both"/>
        <w:rPr>
          <w:rFonts w:ascii="Verdana" w:hAnsi="Verdana" w:cs="Arial"/>
          <w:i/>
          <w:i/>
          <w:szCs w:val="20"/>
        </w:rPr>
      </w:pPr>
      <w:r>
        <w:rPr>
          <w:rFonts w:cs="Arial" w:ascii="Verdana" w:hAnsi="Verdana"/>
          <w:szCs w:val="20"/>
        </w:rPr>
        <w:t>apresentar desconformidade com quaisquer outras exigências deste aviso ou seus anexos, desde que insanável.</w:t>
      </w:r>
    </w:p>
    <w:p>
      <w:pPr>
        <w:pStyle w:val="ListParagraph"/>
        <w:numPr>
          <w:ilvl w:val="1"/>
          <w:numId w:val="1"/>
        </w:numPr>
        <w:tabs>
          <w:tab w:val="clear" w:pos="708"/>
          <w:tab w:val="left" w:pos="532" w:leader="none"/>
        </w:tabs>
        <w:spacing w:lineRule="auto" w:line="276"/>
        <w:ind w:hanging="0" w:left="0"/>
        <w:jc w:val="both"/>
        <w:rPr>
          <w:rFonts w:ascii="Verdana" w:hAnsi="Verdana" w:cs="Arial"/>
          <w:i/>
          <w:i/>
          <w:szCs w:val="20"/>
        </w:rPr>
      </w:pPr>
      <w:r>
        <w:rPr>
          <w:rFonts w:cs="Arial" w:ascii="Verdana" w:hAnsi="Verdana"/>
          <w:szCs w:val="20"/>
          <w:lang w:eastAsia="en-US"/>
        </w:rPr>
        <w:t>Quando</w:t>
      </w:r>
      <w:r>
        <w:rPr>
          <w:rFonts w:cs="Arial" w:ascii="Verdana" w:hAnsi="Verdana"/>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jc w:val="both"/>
        <w:rPr>
          <w:rFonts w:ascii="Verdana" w:hAnsi="Verdana" w:cs="Arial"/>
          <w:i/>
          <w:i/>
          <w:szCs w:val="20"/>
        </w:rPr>
      </w:pPr>
      <w:r>
        <w:rPr>
          <w:rFonts w:cs="Arial" w:ascii="Verdana" w:hAnsi="Verdana"/>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jc w:val="both"/>
        <w:rPr>
          <w:rFonts w:ascii="Verdana" w:hAnsi="Verdana" w:cs="Arial"/>
          <w:i/>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tabs>
          <w:tab w:val="clear" w:pos="708"/>
          <w:tab w:val="left" w:pos="560" w:leader="none"/>
        </w:tabs>
        <w:spacing w:lineRule="auto" w:line="276"/>
        <w:ind w:hanging="0" w:left="0" w:right="-15"/>
        <w:jc w:val="both"/>
        <w:rPr>
          <w:rFonts w:ascii="Verdana" w:hAnsi="Verdana" w:cs="Arial"/>
          <w:szCs w:val="20"/>
          <w:lang w:eastAsia="en-US"/>
        </w:rPr>
      </w:pPr>
      <w:r>
        <w:rPr>
          <w:rFonts w:cs="Arial" w:ascii="Verdana" w:hAnsi="Verdana"/>
          <w:szCs w:val="20"/>
          <w:lang w:eastAsia="en-US"/>
        </w:rPr>
        <w:t xml:space="preserve">Se houver indícios de inexequibilidade da proposta de preço, ou em caso da necessidade de esclarecimentos </w:t>
      </w:r>
      <w:r>
        <w:rPr>
          <w:rFonts w:cs="Arial" w:ascii="Verdana" w:hAnsi="Verdana"/>
          <w:szCs w:val="20"/>
        </w:rPr>
        <w:t>complementares</w:t>
      </w:r>
      <w:r>
        <w:rPr>
          <w:rFonts w:cs="Arial" w:ascii="Verdana" w:hAnsi="Verdana"/>
          <w:szCs w:val="20"/>
          <w:lang w:eastAsia="en-US"/>
        </w:rPr>
        <w:t xml:space="preserve">, poderão ser efetuadas diligências, para que a empresa comprove a exequibilidade da proposta.  </w:t>
      </w:r>
    </w:p>
    <w:p>
      <w:pPr>
        <w:pStyle w:val="ListParagraph"/>
        <w:numPr>
          <w:ilvl w:val="1"/>
          <w:numId w:val="1"/>
        </w:numPr>
        <w:tabs>
          <w:tab w:val="clear" w:pos="708"/>
          <w:tab w:val="left" w:pos="560" w:leader="none"/>
        </w:tabs>
        <w:spacing w:lineRule="auto" w:line="276"/>
        <w:ind w:hanging="0" w:left="0" w:right="-15"/>
        <w:jc w:val="both"/>
        <w:rPr>
          <w:rFonts w:ascii="Verdana" w:hAnsi="Verdana" w:cs="Arial"/>
          <w:szCs w:val="20"/>
          <w:lang w:eastAsia="en-US"/>
        </w:rPr>
      </w:pPr>
      <w:r>
        <w:rPr>
          <w:rFonts w:cs="Arial" w:ascii="Verdana" w:hAnsi="Verdana"/>
          <w:szCs w:val="20"/>
          <w:lang w:eastAsia="en-US"/>
        </w:rPr>
        <w:t>Erros no preenchimento da planilha não constituem motivo para a desclassificac</w:t>
      </w:r>
      <w:r>
        <w:rPr>
          <w:rFonts w:cs="Arial"/>
          <w:szCs w:val="20"/>
          <w:lang w:eastAsia="en-US"/>
        </w:rPr>
        <w:t>̧</w:t>
      </w:r>
      <w:r>
        <w:rPr>
          <w:rFonts w:cs="Arial" w:ascii="Verdana" w:hAnsi="Verdana"/>
          <w:szCs w:val="20"/>
          <w:lang w:eastAsia="en-US"/>
        </w:rPr>
        <w:t xml:space="preserve">ão da proposta. A planilha </w:t>
      </w:r>
      <w:r>
        <w:rPr>
          <w:rFonts w:cs="Arial" w:ascii="Verdana" w:hAnsi="Verdana"/>
          <w:szCs w:val="20"/>
        </w:rPr>
        <w:t>poderá́</w:t>
      </w:r>
      <w:r>
        <w:rPr>
          <w:rFonts w:cs="Arial" w:ascii="Verdana" w:hAnsi="Verdana"/>
          <w:szCs w:val="20"/>
          <w:lang w:eastAsia="en-US"/>
        </w:rPr>
        <w:t xml:space="preserve"> ser ajustada pelo fornecedor, no prazo indicado pelo sistema, desde que não haja majoração do preço.</w:t>
      </w:r>
    </w:p>
    <w:p>
      <w:pPr>
        <w:pStyle w:val="ListParagraph"/>
        <w:numPr>
          <w:ilvl w:val="2"/>
          <w:numId w:val="1"/>
        </w:numPr>
        <w:spacing w:lineRule="auto" w:line="276"/>
        <w:jc w:val="both"/>
        <w:rPr>
          <w:rFonts w:ascii="Verdana" w:hAnsi="Verdana" w:cs="Arial"/>
          <w:szCs w:val="20"/>
          <w:lang w:eastAsia="en-US"/>
        </w:rPr>
      </w:pPr>
      <w:r>
        <w:rPr>
          <w:rFonts w:cs="Arial" w:ascii="Verdana" w:hAnsi="Verdana"/>
          <w:szCs w:val="20"/>
          <w:lang w:eastAsia="en-US"/>
        </w:rPr>
        <w:t>O ajuste de que trata este dispositivo se limita a sanar erros ou falhas que não alterem a substância das propostas;</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Se a proposta ou lance vencedor for desclassificado, será examinada a proposta ou lance subsequente, e, assim sucessivamente, na ordem de classificação.</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Havendo necessidade, a sessão será suspensa, informando-se no “chat” a nova data e horário para a sua continuidade.</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Encerrada a análise quanto à aceitação da proposta, se iniciará a fase de habilitação, observado o disposto neste Aviso de Contratação Direta. </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HABILITAÇÃO</w:t>
      </w:r>
    </w:p>
    <w:p>
      <w:pPr>
        <w:pStyle w:val="ListParagraph"/>
        <w:numPr>
          <w:ilvl w:val="1"/>
          <w:numId w:val="1"/>
        </w:numPr>
        <w:spacing w:lineRule="auto" w:line="276"/>
        <w:ind w:hanging="574" w:left="567"/>
        <w:jc w:val="both"/>
        <w:rPr>
          <w:rFonts w:ascii="Verdana" w:hAnsi="Verdana" w:cs="Arial"/>
          <w:b/>
          <w:szCs w:val="20"/>
          <w:lang w:eastAsia="ar-SA"/>
        </w:rPr>
      </w:pPr>
      <w:r>
        <w:rPr>
          <w:rFonts w:cs="Arial" w:ascii="Verdana" w:hAnsi="Verdana"/>
          <w:szCs w:val="20"/>
          <w:lang w:eastAsia="ar-SA"/>
        </w:rPr>
        <w:t xml:space="preserve">Os </w:t>
      </w:r>
      <w:r>
        <w:rPr>
          <w:rFonts w:cs="Arial" w:ascii="Verdana" w:hAnsi="Verdana"/>
          <w:szCs w:val="20"/>
        </w:rPr>
        <w:t>documentos</w:t>
      </w:r>
      <w:r>
        <w:rPr>
          <w:rFonts w:cs="Arial" w:ascii="Verdana" w:hAnsi="Verdana"/>
          <w:szCs w:val="20"/>
          <w:lang w:eastAsia="ar-SA"/>
        </w:rPr>
        <w:t xml:space="preserve"> a serem exigidos para fins de habilitação constam do </w:t>
      </w:r>
      <w:r>
        <w:rPr>
          <w:rFonts w:cs="Arial" w:ascii="Verdana" w:hAnsi="Verdana"/>
          <w:b/>
          <w:szCs w:val="20"/>
          <w:lang w:eastAsia="ar-SA"/>
        </w:rPr>
        <w:t xml:space="preserve">ANEXO I – DOCUMENTAÇÃO EXIGIDA PARA HABILITAÇÃO </w:t>
      </w:r>
      <w:r>
        <w:rPr>
          <w:rFonts w:cs="Arial" w:ascii="Verdana" w:hAnsi="Verdana"/>
          <w:szCs w:val="20"/>
          <w:lang w:eastAsia="ar-SA"/>
        </w:rPr>
        <w:t>deste aviso e serão solicitados do fornecedor mais bem classificado da fase de lances.</w:t>
      </w:r>
    </w:p>
    <w:p>
      <w:pPr>
        <w:pStyle w:val="ListParagraph"/>
        <w:numPr>
          <w:ilvl w:val="1"/>
          <w:numId w:val="1"/>
        </w:numPr>
        <w:spacing w:lineRule="auto" w:line="276"/>
        <w:ind w:hanging="574" w:left="567"/>
        <w:jc w:val="both"/>
        <w:rPr>
          <w:rFonts w:ascii="Verdana" w:hAnsi="Verdana" w:cs="Arial"/>
          <w:b/>
          <w:szCs w:val="20"/>
          <w:lang w:eastAsia="ar-SA"/>
        </w:rPr>
      </w:pPr>
      <w:r>
        <w:rPr>
          <w:rFonts w:cs="Arial" w:ascii="Verdana" w:hAnsi="Verdana"/>
          <w:szCs w:val="20"/>
          <w:lang w:eastAsia="ar-SA"/>
        </w:rPr>
        <w:t xml:space="preserve">Como </w:t>
      </w:r>
      <w:r>
        <w:rPr>
          <w:rFonts w:cs="Arial" w:ascii="Verdana" w:hAnsi="Verdana"/>
          <w:szCs w:val="20"/>
        </w:rPr>
        <w:t>condição</w:t>
      </w:r>
      <w:r>
        <w:rPr>
          <w:rFonts w:cs="Arial" w:ascii="Verdana" w:hAnsi="Verdana"/>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ind w:left="1134"/>
        <w:jc w:val="both"/>
        <w:rPr>
          <w:rFonts w:ascii="Verdana" w:hAnsi="Verdana" w:cs="Arial"/>
          <w:szCs w:val="20"/>
          <w:lang w:eastAsia="ar-SA"/>
        </w:rPr>
      </w:pPr>
      <w:r>
        <w:rPr>
          <w:rFonts w:cs="Arial" w:ascii="Verdana" w:hAnsi="Verdana"/>
          <w:szCs w:val="20"/>
          <w:lang w:eastAsia="ar-SA"/>
        </w:rPr>
        <w:t xml:space="preserve">a) SICAF;  </w:t>
      </w:r>
    </w:p>
    <w:p>
      <w:pPr>
        <w:pStyle w:val="ListParagraph"/>
        <w:spacing w:lineRule="auto" w:line="276"/>
        <w:ind w:left="1134"/>
        <w:jc w:val="both"/>
        <w:rPr>
          <w:rFonts w:ascii="Verdana" w:hAnsi="Verdana"/>
          <w:szCs w:val="20"/>
        </w:rPr>
      </w:pPr>
      <w:r>
        <w:rPr>
          <w:rFonts w:cs="Arial" w:ascii="Verdana" w:hAnsi="Verdana"/>
          <w:szCs w:val="20"/>
          <w:lang w:eastAsia="ar-SA"/>
        </w:rPr>
        <w:t>b) Cadastro Nacional de Empresas Inidôneas e Suspensas - CEIS, mantido pela Controladoria-Geral da União (</w:t>
      </w:r>
      <w:hyperlink r:id="rId4">
        <w:r>
          <w:rPr>
            <w:rStyle w:val="Hyperlink"/>
            <w:rFonts w:eastAsia="Calibri" w:cs="Arial" w:ascii="Verdana" w:hAnsi="Verdana"/>
            <w:color w:val="auto"/>
            <w:szCs w:val="20"/>
            <w:lang w:eastAsia="ar-SA"/>
          </w:rPr>
          <w:t>www.portaldatransparencia.gov.br/ceis</w:t>
        </w:r>
      </w:hyperlink>
      <w:r>
        <w:rPr>
          <w:rFonts w:cs="Arial" w:ascii="Verdana" w:hAnsi="Verdana"/>
          <w:szCs w:val="20"/>
          <w:lang w:eastAsia="ar-SA"/>
        </w:rPr>
        <w:t xml:space="preserve">);  </w:t>
      </w:r>
    </w:p>
    <w:p>
      <w:pPr>
        <w:pStyle w:val="ListParagraph"/>
        <w:spacing w:lineRule="auto" w:line="276"/>
        <w:ind w:left="1134"/>
        <w:jc w:val="both"/>
        <w:rPr>
          <w:rFonts w:ascii="Verdana" w:hAnsi="Verdana"/>
          <w:szCs w:val="20"/>
        </w:rPr>
      </w:pPr>
      <w:r>
        <w:rPr>
          <w:rFonts w:cs="Arial" w:ascii="Verdana" w:hAnsi="Verdana"/>
          <w:szCs w:val="20"/>
          <w:lang w:eastAsia="ar-SA"/>
        </w:rPr>
        <w:t>c) Cadastro Nacional de Condenações Cíveis por Atos de Improbidade Administrativa, mantido pelo Conselho Nacional de Justiça (</w:t>
      </w:r>
      <w:hyperlink r:id="rId5">
        <w:r>
          <w:rPr>
            <w:rStyle w:val="Hyperlink"/>
            <w:rFonts w:eastAsia="Calibri" w:cs="Arial" w:ascii="Verdana" w:hAnsi="Verdana"/>
            <w:color w:val="auto"/>
            <w:szCs w:val="20"/>
            <w:lang w:eastAsia="ar-SA"/>
          </w:rPr>
          <w:t>www.cnj.jus.br/improbidade_adm/consultar_requerido.php</w:t>
        </w:r>
      </w:hyperlink>
      <w:r>
        <w:rPr>
          <w:rFonts w:cs="Arial" w:ascii="Verdana" w:hAnsi="Verdana"/>
          <w:szCs w:val="20"/>
          <w:lang w:eastAsia="ar-SA"/>
        </w:rPr>
        <w:t xml:space="preserve">).  </w:t>
      </w:r>
    </w:p>
    <w:p>
      <w:pPr>
        <w:pStyle w:val="ListParagraph"/>
        <w:spacing w:lineRule="auto" w:line="276"/>
        <w:ind w:left="1134"/>
        <w:jc w:val="both"/>
        <w:rPr>
          <w:rFonts w:ascii="Verdana" w:hAnsi="Verdana" w:cs="Arial"/>
          <w:szCs w:val="20"/>
          <w:lang w:eastAsia="ar-SA"/>
        </w:rPr>
      </w:pPr>
      <w:r>
        <w:rPr>
          <w:rFonts w:cs="Arial" w:ascii="Verdana" w:hAnsi="Verdana"/>
          <w:szCs w:val="20"/>
          <w:lang w:eastAsia="ar-SA"/>
        </w:rPr>
        <w:t xml:space="preserve">d) Lista de Inidôneos mantida pelo Tribunal de Contas da União - TCU; </w:t>
      </w:r>
    </w:p>
    <w:p>
      <w:pPr>
        <w:pStyle w:val="ListParagraph"/>
        <w:numPr>
          <w:ilvl w:val="2"/>
          <w:numId w:val="1"/>
        </w:numPr>
        <w:spacing w:lineRule="auto" w:line="276"/>
        <w:jc w:val="both"/>
        <w:rPr>
          <w:rFonts w:ascii="Verdana" w:hAnsi="Verdana" w:cs="Arial"/>
          <w:b/>
          <w:szCs w:val="20"/>
        </w:rPr>
      </w:pPr>
      <w:r>
        <w:rPr>
          <w:rFonts w:cs="Arial" w:ascii="Verdana" w:hAnsi="Verdana"/>
          <w:szCs w:val="20"/>
          <w:lang w:eastAsia="ar-SA"/>
        </w:rPr>
        <w:t xml:space="preserve">Para a consulta de </w:t>
      </w:r>
      <w:r>
        <w:rPr>
          <w:rFonts w:cs="Arial" w:ascii="Verdana" w:hAnsi="Verdana"/>
          <w:szCs w:val="20"/>
        </w:rPr>
        <w:t>fornecedores</w:t>
      </w:r>
      <w:r>
        <w:rPr>
          <w:rFonts w:cs="Arial" w:ascii="Verdana" w:hAnsi="Verdana"/>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jc w:val="both"/>
        <w:rPr>
          <w:rFonts w:ascii="Verdana" w:hAnsi="Verdana" w:cs="Arial"/>
          <w:szCs w:val="20"/>
        </w:rPr>
      </w:pPr>
      <w:r>
        <w:rPr>
          <w:rFonts w:cs="Arial" w:ascii="Verdana" w:hAnsi="Verdana"/>
          <w:szCs w:val="20"/>
        </w:rPr>
        <w:t xml:space="preserve">A consulta aos </w:t>
      </w:r>
      <w:r>
        <w:rPr>
          <w:rFonts w:cs="Arial" w:ascii="Verdana" w:hAnsi="Verdana"/>
          <w:szCs w:val="20"/>
          <w:lang w:eastAsia="ar-SA"/>
        </w:rPr>
        <w:t>cadastros</w:t>
      </w:r>
      <w:r>
        <w:rPr>
          <w:rFonts w:cs="Arial" w:ascii="Verdana" w:hAnsi="Verdana"/>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jc w:val="both"/>
        <w:rPr>
          <w:rFonts w:ascii="Verdana" w:hAnsi="Verdana" w:cs="Arial"/>
          <w:szCs w:val="20"/>
        </w:rPr>
      </w:pPr>
      <w:r>
        <w:rPr>
          <w:rFonts w:cs="Arial" w:ascii="Verdana" w:hAnsi="Verdana"/>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jc w:val="both"/>
        <w:rPr>
          <w:rFonts w:ascii="Verdana" w:hAnsi="Verdana" w:cs="Arial"/>
          <w:szCs w:val="20"/>
        </w:rPr>
      </w:pPr>
      <w:r>
        <w:rPr>
          <w:rFonts w:cs="Arial" w:ascii="Verdana" w:hAnsi="Verdana"/>
          <w:szCs w:val="20"/>
        </w:rPr>
        <w:t>A tentativa de burla será verificada por meio dos vínculos societários, linhas de fornecimento similares, dentre outros.</w:t>
      </w:r>
    </w:p>
    <w:p>
      <w:pPr>
        <w:pStyle w:val="ListParagraph"/>
        <w:numPr>
          <w:ilvl w:val="4"/>
          <w:numId w:val="1"/>
        </w:numPr>
        <w:spacing w:lineRule="auto" w:line="276"/>
        <w:jc w:val="both"/>
        <w:rPr>
          <w:rFonts w:ascii="Verdana" w:hAnsi="Verdana" w:cs="Arial"/>
          <w:szCs w:val="20"/>
        </w:rPr>
      </w:pPr>
      <w:r>
        <w:rPr>
          <w:rFonts w:cs="Arial" w:ascii="Verdana" w:hAnsi="Verdana"/>
          <w:szCs w:val="20"/>
        </w:rPr>
        <w:t>O fornecedor será convocado para manifestação previamente à sua desclassificação</w:t>
      </w:r>
    </w:p>
    <w:p>
      <w:pPr>
        <w:pStyle w:val="ListParagraph"/>
        <w:numPr>
          <w:ilvl w:val="2"/>
          <w:numId w:val="1"/>
        </w:numPr>
        <w:spacing w:lineRule="auto" w:line="276"/>
        <w:jc w:val="both"/>
        <w:rPr>
          <w:rFonts w:ascii="Verdana" w:hAnsi="Verdana" w:cs="Arial"/>
          <w:szCs w:val="20"/>
        </w:rPr>
      </w:pPr>
      <w:r>
        <w:rPr>
          <w:rFonts w:cs="Arial" w:ascii="Verdana" w:hAnsi="Verdana"/>
          <w:szCs w:val="20"/>
        </w:rPr>
        <w:t>Constatada a existência de sanção, o fornecedor será reputado inabilitado, por falta de condição de participação.</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jc w:val="both"/>
        <w:rPr>
          <w:rFonts w:ascii="Verdana" w:hAnsi="Verdana" w:cs="Arial"/>
          <w:szCs w:val="20"/>
        </w:rPr>
      </w:pPr>
      <w:r>
        <w:rPr>
          <w:rFonts w:cs="Arial" w:ascii="Verdana" w:hAnsi="Verdana"/>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jc w:val="both"/>
        <w:rPr>
          <w:rFonts w:ascii="Verdana" w:hAnsi="Verdana" w:cs="Arial"/>
          <w:szCs w:val="20"/>
        </w:rPr>
      </w:pPr>
      <w:r>
        <w:rPr>
          <w:rFonts w:cs="Arial" w:ascii="Verdana" w:hAnsi="Verdana"/>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ind w:hanging="574" w:left="567"/>
        <w:jc w:val="both"/>
        <w:rPr>
          <w:rFonts w:ascii="Verdana" w:hAnsi="Verdana" w:cs="Arial"/>
          <w:b/>
          <w:bCs/>
          <w:szCs w:val="20"/>
        </w:rPr>
      </w:pPr>
      <w:r>
        <w:rPr>
          <w:rFonts w:cs="Arial" w:ascii="Verdana" w:hAnsi="Verdana"/>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ind w:hanging="574" w:left="567"/>
        <w:jc w:val="both"/>
        <w:rPr>
          <w:rFonts w:ascii="Verdana" w:hAnsi="Verdana" w:cs="Arial"/>
          <w:bCs/>
          <w:szCs w:val="20"/>
        </w:rPr>
      </w:pPr>
      <w:r>
        <w:rPr>
          <w:rFonts w:cs="Arial" w:ascii="Verdana" w:hAnsi="Verdana"/>
          <w:bCs/>
          <w:szCs w:val="20"/>
        </w:rPr>
        <w:t xml:space="preserve">Havendo </w:t>
      </w:r>
      <w:r>
        <w:rPr>
          <w:rFonts w:cs="Arial" w:ascii="Verdana" w:hAnsi="Verdana"/>
          <w:iCs/>
          <w:szCs w:val="20"/>
          <w:lang w:eastAsia="en-US"/>
        </w:rPr>
        <w:t>necessidade</w:t>
      </w:r>
      <w:r>
        <w:rPr>
          <w:rFonts w:cs="Arial" w:ascii="Verdana" w:hAnsi="Verdana"/>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 xml:space="preserve">Será inabilitado o fornecedor que não comprovar sua habilitação, seja por não apresentar </w:t>
      </w:r>
      <w:r>
        <w:rPr>
          <w:rFonts w:cs="Arial" w:ascii="Verdana" w:hAnsi="Verdana"/>
          <w:iCs/>
          <w:szCs w:val="20"/>
          <w:lang w:eastAsia="en-US"/>
        </w:rPr>
        <w:t>quaisquer</w:t>
      </w:r>
      <w:r>
        <w:rPr>
          <w:rFonts w:cs="Arial" w:ascii="Verdana" w:hAnsi="Verdana"/>
          <w:szCs w:val="20"/>
        </w:rPr>
        <w:t xml:space="preserve"> dos </w:t>
      </w:r>
      <w:r>
        <w:rPr>
          <w:rFonts w:cs="Arial" w:ascii="Verdana" w:hAnsi="Verdana"/>
          <w:bCs/>
          <w:szCs w:val="20"/>
        </w:rPr>
        <w:t>documentos</w:t>
      </w:r>
      <w:r>
        <w:rPr>
          <w:rFonts w:cs="Arial" w:ascii="Verdana" w:hAnsi="Verdana"/>
          <w:szCs w:val="20"/>
        </w:rPr>
        <w:t xml:space="preserve"> exigidos, ou apresentá-los em desacordo com o estabelecido neste Aviso de Contratação Direta.</w:t>
      </w:r>
    </w:p>
    <w:p>
      <w:pPr>
        <w:pStyle w:val="ListParagraph"/>
        <w:numPr>
          <w:ilvl w:val="2"/>
          <w:numId w:val="1"/>
        </w:numPr>
        <w:spacing w:lineRule="auto" w:line="276"/>
        <w:jc w:val="both"/>
        <w:rPr>
          <w:rFonts w:ascii="Verdana" w:hAnsi="Verdana" w:cs="Arial"/>
          <w:szCs w:val="20"/>
        </w:rPr>
      </w:pPr>
      <w:r>
        <w:rPr>
          <w:rFonts w:cs="Arial" w:ascii="Verdana" w:hAnsi="Verdana"/>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ind w:hanging="574" w:left="567"/>
        <w:jc w:val="both"/>
        <w:rPr>
          <w:rFonts w:ascii="Verdana" w:hAnsi="Verdana" w:cs="Arial"/>
          <w:iCs/>
          <w:szCs w:val="20"/>
          <w:lang w:eastAsia="en-US"/>
        </w:rPr>
      </w:pPr>
      <w:r>
        <w:rPr>
          <w:rFonts w:cs="Arial" w:ascii="Verdana" w:hAnsi="Verdana"/>
          <w:iCs/>
          <w:szCs w:val="20"/>
          <w:lang w:eastAsia="en-US"/>
        </w:rPr>
        <w:t>Constatado o atendimento às exigências de habilitação, o fornecedor será habilitado.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CONTRATAÇÃO</w:t>
      </w:r>
    </w:p>
    <w:p>
      <w:pPr>
        <w:pStyle w:val="Normal"/>
        <w:numPr>
          <w:ilvl w:val="1"/>
          <w:numId w:val="1"/>
        </w:numPr>
        <w:tabs>
          <w:tab w:val="clear" w:pos="708"/>
          <w:tab w:val="left" w:pos="574" w:leader="none"/>
        </w:tabs>
        <w:spacing w:lineRule="auto" w:line="276"/>
        <w:ind w:hanging="0" w:left="0"/>
        <w:jc w:val="both"/>
        <w:rPr>
          <w:rFonts w:ascii="Verdana" w:hAnsi="Verdana" w:eastAsia="Arial" w:cs="Arial"/>
          <w:szCs w:val="20"/>
        </w:rPr>
      </w:pPr>
      <w:r>
        <w:rPr>
          <w:rFonts w:eastAsia="Arial" w:cs="Arial" w:ascii="Verdana" w:hAnsi="Verdana"/>
          <w:szCs w:val="20"/>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ind w:hanging="0" w:left="0"/>
        <w:jc w:val="both"/>
        <w:rPr>
          <w:rFonts w:ascii="Verdana" w:hAnsi="Verdana" w:eastAsia="Arial" w:cs="Arial"/>
          <w:szCs w:val="20"/>
        </w:rPr>
      </w:pPr>
      <w:r>
        <w:rPr>
          <w:rFonts w:eastAsia="Arial" w:cs="Arial" w:ascii="Verdana" w:hAnsi="Verdana"/>
          <w:szCs w:val="20"/>
        </w:rPr>
        <w:t xml:space="preserve">O adjudicatário terá o prazo de </w:t>
      </w:r>
      <w:r>
        <w:rPr>
          <w:rFonts w:eastAsia="Arial" w:cs="Arial" w:ascii="Verdana" w:hAnsi="Verdana"/>
          <w:b/>
          <w:bCs/>
          <w:szCs w:val="20"/>
        </w:rPr>
        <w:t>05 (cinco) dias úteis</w:t>
      </w:r>
      <w:r>
        <w:rPr>
          <w:rFonts w:eastAsia="Arial" w:cs="Arial" w:ascii="Verdana" w:hAnsi="Verdana"/>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pPr>
        <w:pStyle w:val="Normal"/>
        <w:numPr>
          <w:ilvl w:val="2"/>
          <w:numId w:val="1"/>
        </w:numPr>
        <w:spacing w:lineRule="auto" w:line="276"/>
        <w:jc w:val="both"/>
        <w:rPr>
          <w:rFonts w:ascii="Verdana" w:hAnsi="Verdana" w:eastAsia="Arial" w:cs="Arial"/>
          <w:iCs/>
          <w:szCs w:val="20"/>
        </w:rPr>
      </w:pPr>
      <w:r>
        <w:rPr>
          <w:rFonts w:eastAsia="Arial" w:cs="Arial" w:ascii="Verdana" w:hAnsi="Verdana"/>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2"/>
          <w:numId w:val="1"/>
        </w:numPr>
        <w:spacing w:lineRule="auto" w:line="276"/>
        <w:jc w:val="both"/>
        <w:rPr>
          <w:rFonts w:ascii="Verdana" w:hAnsi="Verdana" w:eastAsia="Arial" w:cs="Arial"/>
          <w:szCs w:val="20"/>
        </w:rPr>
      </w:pPr>
      <w:r>
        <w:rPr>
          <w:rFonts w:eastAsia="Arial" w:cs="Arial" w:ascii="Verdana" w:hAnsi="Verdana"/>
          <w:szCs w:val="20"/>
        </w:rPr>
        <w:t xml:space="preserve">O prazo previsto para assinatura do contrato ou aceitação da nota de empenho ou instrumento equivalente poderá ser prorrogado </w:t>
      </w:r>
      <w:r>
        <w:rPr>
          <w:rFonts w:cs="Times New Roman" w:ascii="Verdana" w:hAnsi="Verdana"/>
          <w:bCs/>
          <w:szCs w:val="20"/>
        </w:rPr>
        <w:t>1 (uma) vez</w:t>
      </w:r>
      <w:r>
        <w:rPr>
          <w:rFonts w:eastAsia="Arial" w:cs="Arial" w:ascii="Verdana" w:hAnsi="Verdana"/>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ind w:hanging="0" w:left="0"/>
        <w:jc w:val="both"/>
        <w:rPr>
          <w:rFonts w:ascii="Verdana" w:hAnsi="Verdana" w:eastAsia="Arial" w:cs="Arial"/>
          <w:iCs/>
          <w:szCs w:val="20"/>
        </w:rPr>
      </w:pPr>
      <w:r>
        <w:rPr>
          <w:rFonts w:eastAsia="Arial" w:cs="Arial" w:ascii="Verdana" w:hAnsi="Verdana"/>
          <w:iCs/>
          <w:szCs w:val="20"/>
        </w:rPr>
        <w:t>O Aceite da Nota de Empenho ou do instrumento equivalente, emitida à empresa adjudicada, implica no reconhecimento de que:</w:t>
      </w:r>
    </w:p>
    <w:p>
      <w:pPr>
        <w:pStyle w:val="Normal"/>
        <w:numPr>
          <w:ilvl w:val="2"/>
          <w:numId w:val="1"/>
        </w:numPr>
        <w:spacing w:lineRule="auto" w:line="276"/>
        <w:jc w:val="both"/>
        <w:rPr>
          <w:rFonts w:ascii="Verdana" w:hAnsi="Verdana" w:eastAsia="Arial" w:cs="Arial"/>
          <w:iCs/>
          <w:szCs w:val="20"/>
        </w:rPr>
      </w:pPr>
      <w:r>
        <w:rPr>
          <w:rFonts w:eastAsia="Arial" w:cs="Arial" w:ascii="Verdana" w:hAnsi="Verdana"/>
          <w:iCs/>
          <w:szCs w:val="20"/>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jc w:val="both"/>
        <w:rPr>
          <w:rFonts w:ascii="Verdana" w:hAnsi="Verdana" w:eastAsia="Arial" w:cs="Arial"/>
          <w:iCs/>
          <w:szCs w:val="20"/>
        </w:rPr>
      </w:pPr>
      <w:r>
        <w:rPr>
          <w:rFonts w:eastAsia="Arial" w:cs="Arial" w:ascii="Verdana" w:hAnsi="Verdana"/>
          <w:iCs/>
          <w:szCs w:val="20"/>
        </w:rPr>
        <w:t>a contratada se vincula à sua proposta e às previsões contidas no Aviso de Contratação Direta e seus anexos;</w:t>
      </w:r>
    </w:p>
    <w:p>
      <w:pPr>
        <w:pStyle w:val="Normal"/>
        <w:numPr>
          <w:ilvl w:val="2"/>
          <w:numId w:val="1"/>
        </w:numPr>
        <w:spacing w:lineRule="auto" w:line="276"/>
        <w:jc w:val="both"/>
        <w:rPr>
          <w:rFonts w:ascii="Verdana" w:hAnsi="Verdana" w:eastAsia="Arial" w:cs="Arial"/>
          <w:i/>
          <w:i/>
          <w:szCs w:val="20"/>
        </w:rPr>
      </w:pPr>
      <w:r>
        <w:rPr>
          <w:rFonts w:eastAsia="Arial" w:cs="Arial" w:ascii="Verdana" w:hAnsi="Verdana"/>
          <w:iCs/>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ind w:hanging="0" w:left="0"/>
        <w:jc w:val="both"/>
        <w:rPr>
          <w:rFonts w:ascii="Verdana" w:hAnsi="Verdana" w:eastAsia="Arial" w:cs="Arial"/>
          <w:szCs w:val="20"/>
        </w:rPr>
      </w:pPr>
      <w:r>
        <w:rPr>
          <w:rFonts w:eastAsia="Arial" w:cs="Arial" w:ascii="Verdana" w:hAnsi="Verdana"/>
          <w:szCs w:val="20"/>
        </w:rPr>
        <w:t xml:space="preserve">O prazo de vigência da contratação é de </w:t>
      </w:r>
      <w:r>
        <w:rPr>
          <w:rFonts w:eastAsia="Arial" w:cs="Arial" w:ascii="Verdana" w:hAnsi="Verdana"/>
          <w:b/>
          <w:bCs/>
          <w:szCs w:val="20"/>
        </w:rPr>
        <w:t>30 (trinta) dias</w:t>
      </w:r>
      <w:r>
        <w:rPr>
          <w:rFonts w:eastAsia="Arial" w:cs="Arial" w:ascii="Verdana" w:hAnsi="Verdana"/>
          <w:szCs w:val="20"/>
        </w:rPr>
        <w:t xml:space="preserve"> </w:t>
      </w:r>
      <w:r>
        <w:rPr>
          <w:rFonts w:eastAsia="Arial" w:ascii="Verdana" w:hAnsi="Verdana"/>
        </w:rPr>
        <w:t>conforme previsão no Termo de Referência anexo a este Aviso de Contratação Direta.</w:t>
      </w:r>
    </w:p>
    <w:p>
      <w:pPr>
        <w:pStyle w:val="Normal"/>
        <w:numPr>
          <w:ilvl w:val="1"/>
          <w:numId w:val="1"/>
        </w:numPr>
        <w:tabs>
          <w:tab w:val="clear" w:pos="708"/>
          <w:tab w:val="left" w:pos="588" w:leader="none"/>
        </w:tabs>
        <w:spacing w:lineRule="auto" w:line="276"/>
        <w:ind w:hanging="0" w:left="0"/>
        <w:jc w:val="both"/>
        <w:rPr>
          <w:rFonts w:ascii="Verdana" w:hAnsi="Verdana" w:eastAsia="Arial" w:cs="Arial"/>
          <w:szCs w:val="20"/>
        </w:rPr>
      </w:pPr>
      <w:r>
        <w:rPr>
          <w:rFonts w:cs="Arial" w:ascii="Verdana" w:hAnsi="Verdana"/>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SANÇÕES</w:t>
      </w:r>
    </w:p>
    <w:p>
      <w:pPr>
        <w:pStyle w:val="Normal"/>
        <w:numPr>
          <w:ilvl w:val="1"/>
          <w:numId w:val="1"/>
        </w:numPr>
        <w:tabs>
          <w:tab w:val="clear" w:pos="708"/>
          <w:tab w:val="left" w:pos="574" w:leader="none"/>
        </w:tabs>
        <w:spacing w:lineRule="auto" w:line="276"/>
        <w:ind w:hanging="0" w:left="0"/>
        <w:jc w:val="both"/>
        <w:rPr>
          <w:rFonts w:ascii="Verdana" w:hAnsi="Verdana" w:cs="Arial"/>
          <w:b/>
          <w:szCs w:val="20"/>
        </w:rPr>
      </w:pPr>
      <w:r>
        <w:rPr>
          <w:rFonts w:cs="Arial" w:ascii="Verdana" w:hAnsi="Verdana"/>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parcial do contrato;</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total do contrato;</w:t>
      </w:r>
    </w:p>
    <w:p>
      <w:pPr>
        <w:pStyle w:val="Normal"/>
        <w:numPr>
          <w:ilvl w:val="2"/>
          <w:numId w:val="1"/>
        </w:numPr>
        <w:spacing w:lineRule="auto" w:line="276"/>
        <w:jc w:val="both"/>
        <w:rPr>
          <w:rFonts w:ascii="Verdana" w:hAnsi="Verdana" w:cs="Arial"/>
          <w:szCs w:val="20"/>
        </w:rPr>
      </w:pPr>
      <w:r>
        <w:rPr>
          <w:rFonts w:cs="Arial" w:ascii="Verdana" w:hAnsi="Verdana"/>
          <w:szCs w:val="20"/>
        </w:rPr>
        <w:t>deixar de entregar a documentação exigida para o certame;</w:t>
      </w:r>
    </w:p>
    <w:p>
      <w:pPr>
        <w:pStyle w:val="Normal"/>
        <w:numPr>
          <w:ilvl w:val="2"/>
          <w:numId w:val="1"/>
        </w:numPr>
        <w:spacing w:lineRule="auto" w:line="276"/>
        <w:jc w:val="both"/>
        <w:rPr>
          <w:rFonts w:ascii="Verdana" w:hAnsi="Verdana" w:cs="Arial"/>
          <w:szCs w:val="20"/>
        </w:rPr>
      </w:pPr>
      <w:r>
        <w:rPr>
          <w:rFonts w:cs="Arial" w:ascii="Verdana" w:hAnsi="Verdana"/>
          <w:szCs w:val="20"/>
        </w:rPr>
        <w:t>não manter a proposta, salvo em decorrência de fato superveniente devidamente justificado;</w:t>
      </w:r>
    </w:p>
    <w:p>
      <w:pPr>
        <w:pStyle w:val="Normal"/>
        <w:numPr>
          <w:ilvl w:val="2"/>
          <w:numId w:val="1"/>
        </w:numPr>
        <w:spacing w:lineRule="auto" w:line="276"/>
        <w:jc w:val="both"/>
        <w:rPr>
          <w:rFonts w:ascii="Verdana" w:hAnsi="Verdana" w:cs="Arial"/>
          <w:szCs w:val="20"/>
        </w:rPr>
      </w:pPr>
      <w:r>
        <w:rPr>
          <w:rFonts w:cs="Arial" w:ascii="Verdana" w:hAnsi="Verdana"/>
          <w:szCs w:val="20"/>
        </w:rPr>
        <w:t>não celebrar o contrato ou não entregar a documentação exigida para a contratação, quando convocado dentro do prazo de validade de sua proposta;</w:t>
      </w:r>
    </w:p>
    <w:p>
      <w:pPr>
        <w:pStyle w:val="Normal"/>
        <w:numPr>
          <w:ilvl w:val="2"/>
          <w:numId w:val="1"/>
        </w:numPr>
        <w:spacing w:lineRule="auto" w:line="276"/>
        <w:jc w:val="both"/>
        <w:rPr>
          <w:rFonts w:ascii="Verdana" w:hAnsi="Verdana" w:cs="Arial"/>
          <w:szCs w:val="20"/>
        </w:rPr>
      </w:pPr>
      <w:r>
        <w:rPr>
          <w:rFonts w:cs="Arial" w:ascii="Verdana" w:hAnsi="Verdana"/>
          <w:szCs w:val="20"/>
        </w:rPr>
        <w:t>ensejar o retardamento da execução ou da entrega do objeto da licitação sem motivo justificado;</w:t>
      </w:r>
    </w:p>
    <w:p>
      <w:pPr>
        <w:pStyle w:val="Normal"/>
        <w:numPr>
          <w:ilvl w:val="2"/>
          <w:numId w:val="1"/>
        </w:numPr>
        <w:spacing w:lineRule="auto" w:line="276"/>
        <w:jc w:val="both"/>
        <w:rPr>
          <w:rFonts w:ascii="Verdana" w:hAnsi="Verdana" w:cs="Arial"/>
          <w:szCs w:val="20"/>
        </w:rPr>
      </w:pPr>
      <w:r>
        <w:rPr>
          <w:rFonts w:cs="Arial" w:ascii="Verdana" w:hAnsi="Verdana"/>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jc w:val="both"/>
        <w:rPr>
          <w:rFonts w:ascii="Verdana" w:hAnsi="Verdana" w:cs="Arial"/>
          <w:szCs w:val="20"/>
        </w:rPr>
      </w:pPr>
      <w:r>
        <w:rPr>
          <w:rFonts w:cs="Arial" w:ascii="Verdana" w:hAnsi="Verdana"/>
          <w:szCs w:val="20"/>
        </w:rPr>
        <w:t>fraudar a dispensa eletrônica ou praticar ato fraudulento na execução do contrato;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szCs w:val="20"/>
        </w:rPr>
        <w:t>comportar-se de modo inidôneo ou cometer fraude de qualquer natureza;</w:t>
      </w:r>
    </w:p>
    <w:p>
      <w:pPr>
        <w:pStyle w:val="ListParagraph"/>
        <w:numPr>
          <w:ilvl w:val="3"/>
          <w:numId w:val="1"/>
        </w:numPr>
        <w:spacing w:lineRule="auto" w:line="276"/>
        <w:jc w:val="both"/>
        <w:rPr>
          <w:rFonts w:ascii="Verdana" w:hAnsi="Verdana" w:cs="Arial"/>
          <w:szCs w:val="20"/>
        </w:rPr>
      </w:pPr>
      <w:r>
        <w:rPr>
          <w:rFonts w:cs="Arial" w:ascii="Verdana" w:hAnsi="Verdana"/>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tabs>
          <w:tab w:val="clear" w:pos="708"/>
          <w:tab w:val="left" w:pos="1680" w:leader="none"/>
        </w:tabs>
        <w:spacing w:lineRule="auto" w:line="276"/>
        <w:ind w:hanging="425" w:left="1134"/>
        <w:jc w:val="both"/>
        <w:rPr>
          <w:rFonts w:ascii="Verdana" w:hAnsi="Verdana" w:cs="Arial"/>
          <w:szCs w:val="20"/>
        </w:rPr>
      </w:pPr>
      <w:r>
        <w:rPr>
          <w:rFonts w:cs="Arial" w:ascii="Verdana" w:hAnsi="Verdana"/>
          <w:szCs w:val="20"/>
        </w:rPr>
        <w:t>praticar atos ilícitos com vistas a frustrar os objetivos deste certame.</w:t>
      </w:r>
    </w:p>
    <w:p>
      <w:pPr>
        <w:pStyle w:val="Normal"/>
        <w:numPr>
          <w:ilvl w:val="2"/>
          <w:numId w:val="1"/>
        </w:numPr>
        <w:spacing w:lineRule="auto" w:line="276"/>
        <w:ind w:hanging="406" w:left="1134"/>
        <w:jc w:val="both"/>
        <w:rPr>
          <w:rFonts w:ascii="Verdana" w:hAnsi="Verdana"/>
          <w:szCs w:val="20"/>
        </w:rPr>
      </w:pPr>
      <w:r>
        <w:rPr>
          <w:rFonts w:cs="Arial" w:ascii="Verdana" w:hAnsi="Verdana"/>
          <w:szCs w:val="20"/>
        </w:rPr>
        <w:t>praticar ato lesivo previsto no </w:t>
      </w:r>
      <w:r>
        <w:fldChar w:fldCharType="begin"/>
      </w:r>
      <w:r>
        <w:rPr>
          <w:rStyle w:val="ListLabel49"/>
          <w:szCs w:val="20"/>
          <w:rFonts w:ascii="Verdana" w:hAnsi="Verdana"/>
        </w:rPr>
        <w:instrText xml:space="preserve"> HYPERLINK "http://www.planalto.gov.br/ccivil_03/_Ato2011-2014/2013/Lei/L12846.htm" \l "art5"</w:instrText>
      </w:r>
      <w:r>
        <w:rPr>
          <w:rStyle w:val="ListLabel49"/>
          <w:szCs w:val="20"/>
          <w:rFonts w:ascii="Verdana" w:hAnsi="Verdana"/>
        </w:rPr>
        <w:fldChar w:fldCharType="separate"/>
      </w:r>
      <w:r>
        <w:rPr>
          <w:rStyle w:val="ListLabel49"/>
          <w:rFonts w:ascii="Verdana" w:hAnsi="Verdana"/>
          <w:szCs w:val="20"/>
        </w:rPr>
        <w:t>art. 5º da Lei nº 12.846, de 1º de agosto de 2013.</w:t>
      </w:r>
      <w:r>
        <w:rPr>
          <w:rStyle w:val="ListLabel49"/>
          <w:szCs w:val="20"/>
          <w:rFonts w:ascii="Verdana" w:hAnsi="Verdana"/>
        </w:rPr>
        <w:fldChar w:fldCharType="end"/>
      </w:r>
    </w:p>
    <w:p>
      <w:pPr>
        <w:pStyle w:val="Normal"/>
        <w:numPr>
          <w:ilvl w:val="1"/>
          <w:numId w:val="1"/>
        </w:numPr>
        <w:tabs>
          <w:tab w:val="clear" w:pos="708"/>
          <w:tab w:val="left" w:pos="574" w:leader="none"/>
        </w:tabs>
        <w:spacing w:lineRule="auto" w:line="276"/>
        <w:ind w:hanging="0" w:left="0"/>
        <w:jc w:val="both"/>
        <w:rPr>
          <w:rFonts w:ascii="Verdana" w:hAnsi="Verdana" w:cs="Arial"/>
          <w:b/>
          <w:szCs w:val="20"/>
        </w:rPr>
      </w:pPr>
      <w:r>
        <w:rPr>
          <w:rFonts w:cs="Arial" w:ascii="Verdana" w:hAnsi="Verdana"/>
          <w:szCs w:val="2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jc w:val="both"/>
        <w:rPr>
          <w:rFonts w:ascii="Verdana" w:hAnsi="Verdana" w:cs="Arial"/>
          <w:szCs w:val="20"/>
        </w:rPr>
      </w:pPr>
      <w:r>
        <w:rPr>
          <w:rFonts w:cs="Arial" w:ascii="Verdana" w:hAnsi="Verdana"/>
          <w:szCs w:val="20"/>
        </w:rPr>
        <w:t>Advertência pela falta do subitem 8.1.1 deste Aviso de Contratação Direta,</w:t>
      </w:r>
      <w:r>
        <w:rPr>
          <w:rFonts w:ascii="Verdana" w:hAnsi="Verdana"/>
          <w:szCs w:val="20"/>
        </w:rPr>
        <w:t xml:space="preserve"> </w:t>
      </w:r>
      <w:r>
        <w:rPr>
          <w:rFonts w:cs="Arial" w:ascii="Verdana" w:hAnsi="Verdana"/>
          <w:szCs w:val="20"/>
        </w:rPr>
        <w:t>quando não se justificar a imposição de penalidade mais grave;</w:t>
      </w:r>
    </w:p>
    <w:p>
      <w:pPr>
        <w:pStyle w:val="Normal"/>
        <w:numPr>
          <w:ilvl w:val="2"/>
          <w:numId w:val="3"/>
        </w:numPr>
        <w:spacing w:lineRule="auto" w:line="276"/>
        <w:jc w:val="both"/>
        <w:rPr>
          <w:rFonts w:ascii="Verdana" w:hAnsi="Verdana" w:cs="Arial"/>
          <w:szCs w:val="20"/>
        </w:rPr>
      </w:pPr>
      <w:r>
        <w:rPr>
          <w:rFonts w:cs="Arial" w:ascii="Verdana" w:hAnsi="Verdana"/>
          <w:szCs w:val="20"/>
        </w:rPr>
        <w:t>Multa de 30% (trinta por cento) sobre o valor estimado do(s) item(s) prejudicado(s) pela conduta do fornecedor, por qualquer das infrações dos subitens 8.1.1 a 8.1.12;</w:t>
      </w:r>
    </w:p>
    <w:p>
      <w:pPr>
        <w:pStyle w:val="Normal"/>
        <w:numPr>
          <w:ilvl w:val="2"/>
          <w:numId w:val="3"/>
        </w:numPr>
        <w:spacing w:lineRule="auto" w:line="276"/>
        <w:jc w:val="both"/>
        <w:rPr>
          <w:rFonts w:ascii="Verdana" w:hAnsi="Verdana" w:cs="Arial"/>
          <w:szCs w:val="20"/>
        </w:rPr>
      </w:pPr>
      <w:r>
        <w:rPr>
          <w:rFonts w:cs="Arial" w:ascii="Verdana" w:hAnsi="Verdana"/>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pPr>
        <w:pStyle w:val="Normal"/>
        <w:numPr>
          <w:ilvl w:val="2"/>
          <w:numId w:val="3"/>
        </w:numPr>
        <w:spacing w:lineRule="auto" w:line="276"/>
        <w:jc w:val="both"/>
        <w:rPr>
          <w:rFonts w:ascii="Verdana" w:hAnsi="Verdana" w:cs="Arial"/>
          <w:szCs w:val="20"/>
        </w:rPr>
      </w:pPr>
      <w:r>
        <w:rPr>
          <w:rFonts w:cs="Arial" w:ascii="Verdana" w:hAnsi="Verdana"/>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Normal"/>
        <w:numPr>
          <w:ilvl w:val="1"/>
          <w:numId w:val="1"/>
        </w:numPr>
        <w:tabs>
          <w:tab w:val="clear" w:pos="708"/>
          <w:tab w:val="left" w:pos="588" w:leader="none"/>
        </w:tabs>
        <w:spacing w:lineRule="auto" w:line="276"/>
        <w:ind w:hanging="0" w:left="0"/>
        <w:jc w:val="both"/>
        <w:rPr>
          <w:rFonts w:ascii="Verdana" w:hAnsi="Verdana" w:cs="Arial"/>
          <w:bCs/>
          <w:szCs w:val="20"/>
        </w:rPr>
      </w:pPr>
      <w:r>
        <w:rPr>
          <w:rFonts w:cs="Arial" w:ascii="Verdana" w:hAnsi="Verdana"/>
          <w:bCs/>
          <w:szCs w:val="20"/>
        </w:rPr>
        <w:t>Na aplicação das sanções serão considerados:</w:t>
      </w:r>
    </w:p>
    <w:p>
      <w:pPr>
        <w:pStyle w:val="Normal"/>
        <w:numPr>
          <w:ilvl w:val="2"/>
          <w:numId w:val="1"/>
        </w:numPr>
        <w:spacing w:lineRule="auto" w:line="276"/>
        <w:jc w:val="both"/>
        <w:rPr>
          <w:rFonts w:ascii="Verdana" w:hAnsi="Verdana" w:cs="Arial"/>
          <w:bCs/>
          <w:szCs w:val="20"/>
        </w:rPr>
      </w:pPr>
      <w:r>
        <w:rPr>
          <w:rFonts w:cs="Arial" w:ascii="Verdana" w:hAnsi="Verdana"/>
          <w:bCs/>
          <w:szCs w:val="20"/>
        </w:rPr>
        <w:t>a natureza e a gravidade da infração cometida;</w:t>
      </w:r>
    </w:p>
    <w:p>
      <w:pPr>
        <w:pStyle w:val="Normal"/>
        <w:numPr>
          <w:ilvl w:val="2"/>
          <w:numId w:val="1"/>
        </w:numPr>
        <w:spacing w:lineRule="auto" w:line="276"/>
        <w:jc w:val="both"/>
        <w:rPr>
          <w:rFonts w:ascii="Verdana" w:hAnsi="Verdana" w:cs="Arial"/>
          <w:bCs/>
          <w:szCs w:val="20"/>
        </w:rPr>
      </w:pPr>
      <w:r>
        <w:rPr>
          <w:rFonts w:cs="Arial" w:ascii="Verdana" w:hAnsi="Verdana"/>
          <w:bCs/>
          <w:szCs w:val="20"/>
        </w:rPr>
        <w:t>as peculiaridades do caso concreto;</w:t>
      </w:r>
    </w:p>
    <w:p>
      <w:pPr>
        <w:pStyle w:val="Normal"/>
        <w:numPr>
          <w:ilvl w:val="2"/>
          <w:numId w:val="1"/>
        </w:numPr>
        <w:spacing w:lineRule="auto" w:line="276"/>
        <w:jc w:val="both"/>
        <w:rPr>
          <w:rFonts w:ascii="Verdana" w:hAnsi="Verdana" w:cs="Arial"/>
          <w:bCs/>
          <w:szCs w:val="20"/>
        </w:rPr>
      </w:pPr>
      <w:r>
        <w:rPr>
          <w:rFonts w:cs="Arial" w:ascii="Verdana" w:hAnsi="Verdana"/>
          <w:bCs/>
          <w:szCs w:val="20"/>
        </w:rPr>
        <w:t>as circunstâncias agravantes ou atenuantes;</w:t>
      </w:r>
    </w:p>
    <w:p>
      <w:pPr>
        <w:pStyle w:val="Normal"/>
        <w:numPr>
          <w:ilvl w:val="2"/>
          <w:numId w:val="1"/>
        </w:numPr>
        <w:spacing w:lineRule="auto" w:line="276"/>
        <w:jc w:val="both"/>
        <w:rPr>
          <w:rFonts w:ascii="Verdana" w:hAnsi="Verdana" w:cs="Arial"/>
          <w:bCs/>
          <w:szCs w:val="20"/>
        </w:rPr>
      </w:pPr>
      <w:r>
        <w:rPr>
          <w:rFonts w:cs="Arial" w:ascii="Verdana" w:hAnsi="Verdana"/>
          <w:bCs/>
          <w:szCs w:val="20"/>
        </w:rPr>
        <w:t>os danos que dela provierem para a Administração Pública;</w:t>
      </w:r>
    </w:p>
    <w:p>
      <w:pPr>
        <w:pStyle w:val="Normal"/>
        <w:numPr>
          <w:ilvl w:val="2"/>
          <w:numId w:val="1"/>
        </w:numPr>
        <w:spacing w:lineRule="auto" w:line="276"/>
        <w:jc w:val="both"/>
        <w:rPr>
          <w:rFonts w:ascii="Verdana" w:hAnsi="Verdana" w:cs="Arial"/>
          <w:bCs/>
          <w:szCs w:val="20"/>
        </w:rPr>
      </w:pPr>
      <w:r>
        <w:rPr>
          <w:rFonts w:cs="Arial" w:ascii="Verdana" w:hAnsi="Verdana"/>
          <w:bCs/>
          <w:szCs w:val="20"/>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bookmarkStart w:id="3" w:name="art156%252525252525C2%252525252525A78"/>
      <w:bookmarkStart w:id="4" w:name="art156%252525252525C2%252525252525A77"/>
      <w:bookmarkStart w:id="5" w:name="art156%252525252525C2%252525252525A76"/>
      <w:bookmarkEnd w:id="3"/>
      <w:bookmarkEnd w:id="4"/>
      <w:bookmarkEnd w:id="5"/>
      <w:r>
        <w:rPr>
          <w:rFonts w:cs="Arial" w:ascii="Verdana" w:hAnsi="Verdana"/>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25C2%252525252525A79"/>
      <w:bookmarkEnd w:id="6"/>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penalidade de multa pode ser aplicada cumulativamente com as demais sanções.</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As sanções por atos praticados no decorrer da contratação estão previstas nos anexos a este Aviso.</w:t>
      </w:r>
    </w:p>
    <w:p>
      <w:pPr>
        <w:pStyle w:val="Normal"/>
        <w:tabs>
          <w:tab w:val="clear" w:pos="708"/>
          <w:tab w:val="left" w:pos="588" w:leader="none"/>
        </w:tabs>
        <w:spacing w:lineRule="auto" w:line="276"/>
        <w:jc w:val="both"/>
        <w:rPr>
          <w:rFonts w:ascii="Verdana" w:hAnsi="Verdana" w:cs="Arial"/>
          <w:szCs w:val="20"/>
        </w:rPr>
      </w:pPr>
      <w:r>
        <w:rPr>
          <w:rFonts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DAS DISPOSIÇÕES GERAIS</w:t>
      </w:r>
    </w:p>
    <w:p>
      <w:pPr>
        <w:pStyle w:val="Normal"/>
        <w:numPr>
          <w:ilvl w:val="1"/>
          <w:numId w:val="1"/>
        </w:numPr>
        <w:tabs>
          <w:tab w:val="clear" w:pos="708"/>
          <w:tab w:val="left" w:pos="504" w:leader="none"/>
        </w:tabs>
        <w:snapToGrid w:val="false"/>
        <w:spacing w:lineRule="auto" w:line="276"/>
        <w:ind w:hanging="0" w:left="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tabs>
          <w:tab w:val="clear" w:pos="708"/>
          <w:tab w:val="left" w:pos="504" w:leader="none"/>
        </w:tabs>
        <w:snapToGrid w:val="false"/>
        <w:spacing w:lineRule="auto" w:line="276"/>
        <w:ind w:hanging="0" w:left="0"/>
        <w:jc w:val="both"/>
        <w:rPr>
          <w:rFonts w:ascii="Verdana" w:hAnsi="Verdana" w:cs="Arial"/>
          <w:szCs w:val="20"/>
        </w:rPr>
      </w:pPr>
      <w:r>
        <w:rPr>
          <w:rFonts w:cs="Arial" w:ascii="Verdana" w:hAnsi="Verdana"/>
          <w:szCs w:val="20"/>
        </w:rPr>
        <w:t>No caso de todos os fornecedores restarem desclassificados ou inabilitados (procedimento fracassado), a Administração poderá:</w:t>
      </w:r>
    </w:p>
    <w:p>
      <w:pPr>
        <w:pStyle w:val="Normal"/>
        <w:numPr>
          <w:ilvl w:val="2"/>
          <w:numId w:val="1"/>
        </w:numPr>
        <w:spacing w:lineRule="auto" w:line="276"/>
        <w:jc w:val="both"/>
        <w:rPr>
          <w:rFonts w:ascii="Verdana" w:hAnsi="Verdana" w:cs="Arial"/>
          <w:szCs w:val="20"/>
        </w:rPr>
      </w:pPr>
      <w:r>
        <w:rPr>
          <w:rFonts w:cs="Arial" w:ascii="Verdana" w:hAnsi="Verdana"/>
          <w:szCs w:val="20"/>
        </w:rPr>
        <w:t>republicar o presente aviso com uma nova data;</w:t>
      </w:r>
    </w:p>
    <w:p>
      <w:pPr>
        <w:pStyle w:val="Normal"/>
        <w:numPr>
          <w:ilvl w:val="2"/>
          <w:numId w:val="1"/>
        </w:numPr>
        <w:spacing w:lineRule="auto" w:line="276"/>
        <w:jc w:val="both"/>
        <w:rPr>
          <w:rFonts w:ascii="Verdana" w:hAnsi="Verdana" w:cs="Arial"/>
          <w:szCs w:val="20"/>
        </w:rPr>
      </w:pPr>
      <w:r>
        <w:rPr>
          <w:rFonts w:cs="Arial" w:ascii="Verdana" w:hAnsi="Verdana"/>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jc w:val="both"/>
        <w:rPr>
          <w:rFonts w:ascii="Verdana" w:hAnsi="Verdana" w:cs="Arial"/>
          <w:szCs w:val="20"/>
        </w:rPr>
      </w:pPr>
      <w:r>
        <w:rPr>
          <w:rFonts w:cs="Arial" w:ascii="Verdana" w:hAnsi="Verdana"/>
          <w:szCs w:val="20"/>
        </w:rPr>
        <w:t>No caso do subitem anterior, a contratação será operacionalizada fora deste procedimento.</w:t>
      </w:r>
    </w:p>
    <w:p>
      <w:pPr>
        <w:pStyle w:val="Normal"/>
        <w:numPr>
          <w:ilvl w:val="2"/>
          <w:numId w:val="1"/>
        </w:numPr>
        <w:spacing w:lineRule="auto" w:line="276"/>
        <w:jc w:val="both"/>
        <w:rPr>
          <w:rFonts w:ascii="Verdana" w:hAnsi="Verdana" w:cs="Arial"/>
          <w:szCs w:val="20"/>
        </w:rPr>
      </w:pPr>
      <w:r>
        <w:rPr>
          <w:rFonts w:cs="Arial" w:ascii="Verdana" w:hAnsi="Verdana"/>
          <w:szCs w:val="20"/>
        </w:rPr>
        <w:t>fixar prazo para que possa haver adequação das propostas ou da documentação de habilitação, conforme o caso.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As providências dos subitens 9.2.1 e 9.2.2 acima poderão ser utilizadas se não houver o comparecimento de quaisquer fornecedores interessados (procedimento deserto).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Em caso de divergência entre disposições deste Aviso de Contratação Direta e de seus anexos ou demais peças que compõem o processo, prevalecerá as deste Aviso.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2h (duas horas) após o pedido, salvo:</w:t>
      </w:r>
    </w:p>
    <w:p>
      <w:pPr>
        <w:pStyle w:val="Normal"/>
        <w:tabs>
          <w:tab w:val="clear" w:pos="708"/>
          <w:tab w:val="left" w:pos="518" w:leader="none"/>
        </w:tabs>
        <w:spacing w:lineRule="auto" w:line="276"/>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pPr>
        <w:pStyle w:val="Normal"/>
        <w:tabs>
          <w:tab w:val="clear" w:pos="708"/>
          <w:tab w:val="left" w:pos="518" w:leader="none"/>
        </w:tabs>
        <w:spacing w:lineRule="auto" w:line="276"/>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Da sessão pública será divulgada Ata no sistema eletrônico.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Integram este Aviso de Contratação Direta, para todos os fins e efeitos, os seguintes anexos:</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w:t>
      </w:r>
      <w:r>
        <w:rPr>
          <w:rFonts w:cs="Arial" w:ascii="Verdana" w:hAnsi="Verdana"/>
          <w:szCs w:val="20"/>
        </w:rPr>
        <w:t xml:space="preserve"> – Documentação exigida para Habilitação;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II</w:t>
      </w:r>
      <w:r>
        <w:rPr>
          <w:rFonts w:cs="Arial" w:ascii="Verdana" w:hAnsi="Verdana"/>
          <w:szCs w:val="20"/>
        </w:rPr>
        <w:t xml:space="preserve"> – Termo de Referência;</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9.15.2.1 ANEXO II-1</w:t>
      </w:r>
      <w:r>
        <w:rPr>
          <w:rFonts w:cs="Arial" w:ascii="Verdana" w:hAnsi="Verdana"/>
          <w:szCs w:val="20"/>
        </w:rPr>
        <w:t xml:space="preserve"> – Estudo Técnico Preliminar;</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9.15.2.2 ANEXO II-2</w:t>
      </w:r>
      <w:r>
        <w:rPr>
          <w:rFonts w:cs="Arial" w:ascii="Verdana" w:hAnsi="Verdana"/>
          <w:szCs w:val="20"/>
        </w:rPr>
        <w:t xml:space="preserve"> – Modelo de Proposta.</w:t>
      </w:r>
    </w:p>
    <w:p>
      <w:pPr>
        <w:pStyle w:val="Normal"/>
        <w:tabs>
          <w:tab w:val="clear" w:pos="708"/>
          <w:tab w:val="left" w:pos="1560" w:leader="none"/>
        </w:tabs>
        <w:spacing w:lineRule="auto" w:line="276"/>
        <w:ind w:left="1224"/>
        <w:jc w:val="both"/>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t>São Gabriel da Palha – ES, 20 de março de 2025.</w:t>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b/>
          <w:bCs/>
          <w:iCs/>
          <w:szCs w:val="20"/>
        </w:rPr>
      </w:pPr>
      <w:r>
        <w:rPr>
          <w:rFonts w:cs="Arial" w:ascii="Verdana" w:hAnsi="Verdana"/>
          <w:b/>
          <w:bCs/>
          <w:iCs/>
          <w:szCs w:val="20"/>
        </w:rPr>
        <w:t>ERLITON DE MELLO BRAZ</w:t>
      </w:r>
    </w:p>
    <w:p>
      <w:pPr>
        <w:pStyle w:val="Normal"/>
        <w:spacing w:lineRule="auto" w:line="276"/>
        <w:jc w:val="center"/>
        <w:rPr>
          <w:rFonts w:ascii="Verdana" w:hAnsi="Verdana" w:cs="Arial"/>
          <w:szCs w:val="20"/>
        </w:rPr>
      </w:pPr>
      <w:r>
        <w:rPr>
          <w:rFonts w:cs="Arial" w:ascii="Verdana" w:hAnsi="Verdana"/>
          <w:b/>
          <w:bCs/>
          <w:iCs/>
          <w:szCs w:val="20"/>
        </w:rPr>
        <w:t>Agente de Contratação</w:t>
      </w:r>
    </w:p>
    <w:sectPr>
      <w:headerReference w:type="even" r:id="rId6"/>
      <w:headerReference w:type="default" r:id="rId7"/>
      <w:headerReference w:type="first" r:id="rId8"/>
      <w:type w:val="nextPage"/>
      <w:pgSz w:w="11906" w:h="16838"/>
      <w:pgMar w:left="1134" w:right="849" w:gutter="0" w:header="567" w:top="1418" w:footer="0" w:bottom="1134"/>
      <w:pgNumType w:fmt="decimal"/>
      <w:formProt w:val="false"/>
      <w:textDirection w:val="lrTb"/>
      <w:docGrid w:type="default" w:linePitch="36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Verdan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 id="PowerPlusWaterMarkObject259915282" o:spid="shape_0" coordsize="1917,1905" path="m0,8l0,8xm6,1l0,8l7,0l6,1xm0,8l0,8xm1915,1904l0,8l1916,1903l1915,1904xe" stroked="f" o:allowincell="f" style="position:absolute;margin-left:0.05pt;margin-top:0pt;width:54.25pt;height:53.9pt;mso-wrap-style:none;v-text-anchor:middle;mso-position-horizontal:center;mso-position-horizontal-relative:margin;mso-position-vertical:center;mso-position-vertical-relative:margin">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1">
          <wp:simplePos x="0" y="0"/>
          <wp:positionH relativeFrom="column">
            <wp:posOffset>175260</wp:posOffset>
          </wp:positionH>
          <wp:positionV relativeFrom="paragraph">
            <wp:posOffset>-86360</wp:posOffset>
          </wp:positionV>
          <wp:extent cx="647700" cy="54292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shape_0" adj="10800" fillcolor="white" stroked="f" o:allowincell="f" style="position:absolute;margin-left:243.45pt;margin-top:347.5pt;width:9.2pt;height: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b/>
        <w:bCs/>
        <w:szCs w:val="20"/>
      </w:rPr>
    </w:pPr>
    <w:r>
      <w:rPr>
        <w:rFonts w:ascii="Verdana" w:hAnsi="Verdana"/>
        <w:b/>
        <w:bCs/>
        <w:szCs w:val="20"/>
      </w:rPr>
    </w:r>
  </w:p>
  <w:p>
    <w:pPr>
      <w:pStyle w:val="Normal"/>
      <w:jc w:val="center"/>
      <w:rPr>
        <w:rFonts w:ascii="Verdana" w:hAnsi="Verdana"/>
        <w:b/>
        <w:bCs/>
        <w:szCs w:val="20"/>
      </w:rPr>
    </w:pPr>
    <w:r>
      <w:rPr>
        <w:rFonts w:ascii="Verdana" w:hAnsi="Verdana"/>
        <w:b/>
        <w:bCs/>
        <w:szCs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1">
          <wp:simplePos x="0" y="0"/>
          <wp:positionH relativeFrom="column">
            <wp:posOffset>175260</wp:posOffset>
          </wp:positionH>
          <wp:positionV relativeFrom="paragraph">
            <wp:posOffset>-86360</wp:posOffset>
          </wp:positionV>
          <wp:extent cx="647700" cy="542925"/>
          <wp:effectExtent l="0" t="0" r="0" b="0"/>
          <wp:wrapSquare wrapText="bothSides"/>
          <wp:docPr id="4"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 id="PowerPlusWaterMarkObject259915283" o:spid="shape_0" adj="10800" fillcolor="white" stroked="f" o:allowincell="f" style="position:absolute;margin-left:243.45pt;margin-top:347.5pt;width:9.2pt;height: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b/>
        <w:bCs/>
        <w:szCs w:val="20"/>
      </w:rPr>
    </w:pPr>
    <w:r>
      <w:rPr>
        <w:rFonts w:ascii="Verdana" w:hAnsi="Verdana"/>
        <w:b/>
        <w:bCs/>
        <w:szCs w:val="20"/>
      </w:rPr>
    </w:r>
  </w:p>
  <w:p>
    <w:pPr>
      <w:pStyle w:val="Normal"/>
      <w:jc w:val="center"/>
      <w:rPr>
        <w:rFonts w:ascii="Verdana" w:hAnsi="Verdana"/>
        <w:b/>
        <w:bCs/>
        <w:szCs w:val="20"/>
      </w:rPr>
    </w:pPr>
    <w:r>
      <w:rPr>
        <w:rFonts w:ascii="Verdana" w:hAnsi="Verdana"/>
        <w:b/>
        <w:bCs/>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Verdana" w:hAnsi="Verdana"/>
      </w:rPr>
    </w:lvl>
    <w:lvl w:ilvl="1">
      <w:start w:val="1"/>
      <w:numFmt w:val="decimal"/>
      <w:lvlText w:val="%1.%2."/>
      <w:lvlJc w:val="left"/>
      <w:pPr>
        <w:tabs>
          <w:tab w:val="num" w:pos="0"/>
        </w:tabs>
        <w:ind w:left="567" w:hanging="207"/>
      </w:pPr>
      <w:rPr>
        <w:sz w:val="20"/>
        <w:i w:val="false"/>
        <w:b/>
        <w:szCs w:val="20"/>
        <w:iCs/>
        <w:rFonts w:ascii="Verdana" w:hAnsi="Verdana"/>
        <w:color w:val="auto"/>
      </w:rPr>
    </w:lvl>
    <w:lvl w:ilvl="2">
      <w:start w:val="1"/>
      <w:numFmt w:val="decimal"/>
      <w:lvlText w:val="%1.%2.%3."/>
      <w:lvlJc w:val="left"/>
      <w:pPr>
        <w:tabs>
          <w:tab w:val="num" w:pos="0"/>
        </w:tabs>
        <w:ind w:left="1224" w:hanging="504"/>
      </w:pPr>
      <w:rPr>
        <w:i w:val="false"/>
        <w:b/>
        <w:iCs/>
        <w:rFonts w:ascii="Verdana" w:hAnsi="Verdana" w:cs="Arial"/>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eastAsia="pt-BR" w:val="pt-BR" w:bidi="ar-SA"/>
    </w:rPr>
  </w:style>
  <w:style w:type="paragraph" w:styleId="Heading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themeColor="accent1" w:themeShade="bf" w:val="2F5496"/>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InternetLink" w:customStyle="1">
    <w:name w:val="Internet Link"/>
    <w:basedOn w:val="DefaultParagraphFont"/>
    <w:unhideWhenUsed/>
    <w:qFormat/>
    <w:rsid w:val="005c474f"/>
    <w:rPr>
      <w:color w:themeColor="hyperlink" w:val="0563C1"/>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Strong">
    <w:name w:val="Strong"/>
    <w:basedOn w:val="DefaultParagraphFont"/>
    <w:uiPriority w:val="22"/>
    <w:qFormat/>
    <w:rsid w:val="005c44af"/>
    <w:rPr>
      <w:b/>
      <w:bCs/>
    </w:rPr>
  </w:style>
  <w:style w:type="character" w:styleId="Forte1" w:customStyle="1">
    <w:name w:val="Forte1"/>
    <w:qFormat/>
    <w:rsid w:val="00ab28ac"/>
    <w:rPr>
      <w:b/>
      <w:bCs/>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rPr>
  </w:style>
  <w:style w:type="paragraph" w:styleId="ndice" w:customStyle="1">
    <w:name w:val="Índice"/>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Heading1"/>
    <w:next w:val="Normal"/>
    <w:link w:val="Nivel01Char"/>
    <w:qFormat/>
    <w:rsid w:val="009f7713"/>
    <w:pPr>
      <w:spacing w:lineRule="auto" w:line="276" w:before="480" w:after="120"/>
      <w:ind w:right="-15"/>
      <w:jc w:val="both"/>
    </w:pPr>
    <w:rPr>
      <w:rFonts w:ascii="Arial" w:hAnsi="Arial" w:cs="Times New Roman"/>
      <w:b/>
      <w:bCs/>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ListParagraph">
    <w:name w:val="List Paragraph"/>
    <w:basedOn w:val="Normal"/>
    <w:qFormat/>
    <w:rsid w:val="006a70c8"/>
    <w:pPr>
      <w:spacing w:before="0" w:after="0"/>
      <w:ind w:left="72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Heading1"/>
    <w:qFormat/>
    <w:rsid w:val="00fa4ef2"/>
    <w:pPr>
      <w:spacing w:lineRule="auto" w:line="276" w:before="480" w:after="0"/>
      <w:ind w:hanging="360" w:left="644"/>
      <w:jc w:val="both"/>
    </w:pPr>
    <w:rPr>
      <w:rFonts w:ascii="Arial" w:hAnsi="Arial" w:cs="Times New Roman"/>
      <w:b/>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name w:val="Cabeçalho e rodapé4"/>
    <w:basedOn w:val="Normal"/>
    <w:qFormat/>
    <w:pPr/>
    <w:rPr/>
  </w:style>
  <w:style w:type="paragraph" w:styleId="Header">
    <w:name w:val="Header"/>
    <w:basedOn w:val="Normal"/>
    <w:link w:val="CabealhoChar"/>
    <w:unhideWhenUsed/>
    <w:rsid w:val="00805244"/>
    <w:pPr>
      <w:tabs>
        <w:tab w:val="clear" w:pos="708"/>
        <w:tab w:val="center" w:pos="4252" w:leader="none"/>
        <w:tab w:val="right" w:pos="8504" w:leader="none"/>
      </w:tabs>
    </w:pPr>
    <w:rPr/>
  </w:style>
  <w:style w:type="paragraph" w:styleId="Footer">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eastAsia="pt-BR" w:val="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Heading1"/>
    <w:qFormat/>
    <w:rsid w:val="000d02c1"/>
    <w:pPr>
      <w:snapToGrid w:val="false"/>
      <w:spacing w:lineRule="auto" w:line="360" w:before="240" w:after="240"/>
      <w:ind w:right="-30"/>
      <w:jc w:val="both"/>
    </w:pPr>
    <w:rPr>
      <w:rFonts w:ascii="Arial" w:hAnsi="Arial" w:eastAsia="Times New Roman" w:cs="Arial"/>
      <w:b/>
      <w:sz w:val="24"/>
      <w:szCs w:val="24"/>
    </w:rPr>
  </w:style>
  <w:style w:type="paragraph" w:styleId="Contedodoquadro" w:customStyle="1">
    <w:name w:val="Conteúdo do quadro"/>
    <w:basedOn w:val="Normal"/>
    <w:qFormat/>
    <w:pPr/>
    <w:rPr/>
  </w:style>
  <w:style w:type="paragraph" w:styleId="TableParagraph" w:customStyle="1">
    <w:name w:val="Table Paragraph"/>
    <w:basedOn w:val="Normal"/>
    <w:qFormat/>
    <w:rsid w:val="003e7a19"/>
    <w:pPr>
      <w:widowControl w:val="false"/>
      <w:suppressAutoHyphens w:val="false"/>
    </w:pPr>
    <w:rPr>
      <w:rFonts w:ascii="Calibri" w:hAnsi="Calibri" w:eastAsia="Calibri" w:cs="Calibri"/>
      <w:sz w:val="22"/>
      <w:szCs w:val="22"/>
      <w:lang w:val="pt-PT" w:eastAsia="en-U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Application>LibreOffice/24.2.6.2$Windows_X86_64 LibreOffice_project/ef66aa7e36a1bb8e65bfbc63aba53045a14d0871</Application>
  <AppVersion>15.0000</AppVersion>
  <Pages>10</Pages>
  <Words>4618</Words>
  <Characters>26511</Characters>
  <CharactersWithSpaces>30811</CharactersWithSpaces>
  <Paragraphs>204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2024-02-27T18:18:00Z</dcterms:created>
  <dc:creator>Hugo Sales</dc:creator>
  <dc:description/>
  <dc:language>pt-BR</dc:language>
  <cp:lastModifiedBy/>
  <cp:lastPrinted>2025-03-20T19:47:00Z</cp:lastPrinted>
  <dcterms:modified xsi:type="dcterms:W3CDTF">2025-05-27T13:36:18Z</dcterms:modified>
  <cp:revision>58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